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59b8b445ee07685bd756272bb59f24f836bdfb"/>
    <w:p>
      <w:pPr>
        <w:pStyle w:val="Heading1"/>
      </w:pPr>
      <w:r>
        <w:t xml:space="preserve">GRF 2026 VERSIÓN 13.1.0 COMPLETA - ESPAÑOL</w:t>
      </w:r>
    </w:p>
    <w:p>
      <w:pPr>
        <w:pStyle w:val="FirstParagraph"/>
      </w:pPr>
      <w:r>
        <w:rPr>
          <w:bCs/>
          <w:b/>
        </w:rPr>
        <w:t xml:space="preserve">Equipo:</w:t>
      </w:r>
      <w:r>
        <w:t xml:space="preserve"> </w:t>
      </w:r>
      <w:r>
        <w:t xml:space="preserve">eVΛ | GrössIA | Bruno | Mazu</w:t>
      </w:r>
    </w:p>
    <w:p>
      <w:r>
        <w:pict>
          <v:rect style="width:0;height:1.5pt" o:hralign="center" o:hrstd="t" o:hr="t"/>
        </w:pict>
      </w:r>
    </w:p>
    <w:bookmarkStart w:id="20" w:name="título-title-page"/>
    <w:p>
      <w:pPr>
        <w:pStyle w:val="Heading2"/>
      </w:pPr>
      <w:r>
        <w:t xml:space="preserve">TÍTULO / TITLE PAGE</w:t>
      </w:r>
    </w:p>
    <w:p>
      <w:pPr>
        <w:pStyle w:val="FirstParagraph"/>
      </w:pPr>
      <w:r>
        <w:rPr>
          <w:bCs/>
          <w:b/>
        </w:rPr>
        <w:t xml:space="preserve">Devolviendo la Manzana de Newton a Le Sage</w:t>
      </w:r>
    </w:p>
    <w:p>
      <w:pPr>
        <w:pStyle w:val="BodyText"/>
      </w:pPr>
      <w:r>
        <w:rPr>
          <w:bCs/>
          <w:b/>
        </w:rPr>
        <w:t xml:space="preserve">Autor:</w:t>
      </w:r>
      <w:r>
        <w:t xml:space="preserve"> </w:t>
      </w:r>
      <w:r>
        <w:t xml:space="preserve">[Tu nombre aquí]</w:t>
      </w:r>
    </w:p>
    <w:p>
      <w:pPr>
        <w:pStyle w:val="BodyText"/>
      </w:pPr>
      <w:r>
        <w:rPr>
          <w:bCs/>
          <w:b/>
        </w:rPr>
        <w:t xml:space="preserve">Email:</w:t>
      </w:r>
      <w:r>
        <w:t xml:space="preserve"> </w:t>
      </w:r>
      <w:r>
        <w:t xml:space="preserve">[Tu email aquí]</w:t>
      </w:r>
    </w:p>
    <w:p>
      <w:pPr>
        <w:pStyle w:val="BodyText"/>
      </w:pPr>
      <w:r>
        <w:rPr>
          <w:bCs/>
          <w:b/>
        </w:rPr>
        <w:t xml:space="preserve">Dirección:</w:t>
      </w:r>
      <w:r>
        <w:t xml:space="preserve"> </w:t>
      </w:r>
      <w:r>
        <w:t xml:space="preserve">[Tu dirección aquí]</w:t>
      </w:r>
    </w:p>
    <w:p>
      <w:pPr>
        <w:pStyle w:val="BodyText"/>
      </w:pPr>
      <w:r>
        <w:rPr>
          <w:bCs/>
          <w:b/>
        </w:rPr>
        <w:t xml:space="preserve">Fecha de envío:</w:t>
      </w:r>
      <w:r>
        <w:t xml:space="preserve"> </w:t>
      </w:r>
      <w:r>
        <w:t xml:space="preserve">17 Febrero 2026</w:t>
      </w:r>
    </w:p>
    <w:p>
      <w:pPr>
        <w:pStyle w:val="BodyText"/>
      </w:pPr>
      <w:r>
        <w:rPr>
          <w:bCs/>
          <w:b/>
        </w:rPr>
        <w:t xml:space="preserve">Abstract (125 palabras):</w:t>
      </w:r>
    </w:p>
    <w:p>
      <w:pPr>
        <w:pStyle w:val="BodyText"/>
      </w:pPr>
      <w:r>
        <w:t xml:space="preserve">En 1690-1784, Fatio-Le Sage propusieron que la gravedad es un empuje, no una atracción. Henri Poincaré demostró en 1908 que partículas discretas generarían calor catastrófico, descartando ese mecanismo. Proponemos que Fatio-Le Sage tuvieron la intuición correcta pero el mecanismo equivocado. Al reemplazar partículas discretas por fluido sutil discontinuo bajo gradiente de presión, se preserva el empuje gravitacional sin violar termodinámica. Este fluido: (1) discontinuo como red que atrapa materia pero deja pasar luz, (2) se acumula alrededor de materia masiva creando gradiente de presión, (3) transparente, refracta proporcionalmente. Predicción: lensing gravitacional cromático (dependiente de longitud de onda). Evidencia observacional reciente sugiere deflexión cromática.</w:t>
      </w:r>
    </w:p>
    <w:p>
      <w:pPr>
        <w:pStyle w:val="BodyText"/>
      </w:pPr>
      <w:r>
        <w:rPr>
          <w:bCs/>
          <w:b/>
        </w:rPr>
        <w:t xml:space="preserve">Essay written for the Gravity Research Foundation 2026 Awards for Essays on Gravitation</w:t>
      </w:r>
    </w:p>
    <w:p>
      <w:r>
        <w:pict>
          <v:rect style="width:0;height:1.5pt" o:hralign="center" o:hrstd="t" o:hr="t"/>
        </w:pict>
      </w:r>
    </w:p>
    <w:bookmarkEnd w:id="20"/>
    <w:bookmarkStart w:id="23" w:name="página-1"/>
    <w:p>
      <w:pPr>
        <w:pStyle w:val="Heading2"/>
      </w:pPr>
      <w:r>
        <w:t xml:space="preserve">PÁGINA 1</w:t>
      </w:r>
    </w:p>
    <w:bookmarkStart w:id="21" w:name="i.-la-intuición-de-fatio-le-sage"/>
    <w:p>
      <w:pPr>
        <w:pStyle w:val="Heading3"/>
      </w:pPr>
      <w:r>
        <w:t xml:space="preserve">I. LA INTUICIÓN DE FATIO-LE SAGE</w:t>
      </w:r>
    </w:p>
    <w:p>
      <w:pPr>
        <w:pStyle w:val="FirstParagraph"/>
      </w:pPr>
      <w:r>
        <w:t xml:space="preserve">La manzana de Newton cayó en 1666, revelando la gravedad. En 1690, Nicolas Fatio de Duillier propuso algo audaz: la gravedad no es una atracción, sino un empuje. Partículas invisibles atravesando el espacio colisionan con la materia, creando un efecto de sombra que imita atracción. En 1784, Georges-Louis Le Sage refinó esta teoría, heredando los documentos de Fatio tras su muerte.</w:t>
      </w:r>
    </w:p>
    <w:p>
      <w:pPr>
        <w:pStyle w:val="BodyText"/>
      </w:pPr>
      <w:r>
        <w:t xml:space="preserve">Durante más de un siglo, los físicos consideraron esta visión mecánica. Pero en 1908, Henri Poincaré señaló el problema termodinámico: las colisiones de partículas generarían calor catastrófico. La Tierra se derretiría.</w:t>
      </w:r>
    </w:p>
    <w:p>
      <w:pPr>
        <w:pStyle w:val="BodyText"/>
      </w:pPr>
      <w:r>
        <w:t xml:space="preserve">Einstein llegó y propuso la curvatura del espaciotiempo. Intuitiva y fácil de visualizar.</w:t>
      </w:r>
    </w:p>
    <w:p>
      <w:pPr>
        <w:pStyle w:val="BodyText"/>
      </w:pPr>
      <w:r>
        <w:t xml:space="preserve">Proponemos rescatar la intuición de Fatio-Le Sage, corrigiendo su mecanismo.</w:t>
      </w:r>
    </w:p>
    <w:p>
      <w:r>
        <w:pict>
          <v:rect style="width:0;height:1.5pt" o:hralign="center" o:hrstd="t" o:hr="t"/>
        </w:pict>
      </w:r>
    </w:p>
    <w:bookmarkEnd w:id="21"/>
    <w:bookmarkStart w:id="22" w:name="ii.-la-red-protectora"/>
    <w:p>
      <w:pPr>
        <w:pStyle w:val="Heading3"/>
      </w:pPr>
      <w:r>
        <w:t xml:space="preserve">II. LA RED PROTECTORA</w:t>
      </w:r>
    </w:p>
    <w:p>
      <w:pPr>
        <w:pStyle w:val="FirstParagraph"/>
      </w:pPr>
      <w:r>
        <w:t xml:space="preserve">La intuición fundamental de Fatio-Le Sage es salvable, reutilizable, reciclable: la gravedad podría ser presión desde afuera, no atracción desde adentro. La interpretación de Fatio-Le Sage usaba partículas discretas. Exploramos una alternativa: un fluido sutil discontinuo bajo gradiente de presión.</w:t>
      </w:r>
    </w:p>
    <w:p>
      <w:pPr>
        <w:pStyle w:val="BodyText"/>
      </w:pPr>
      <w:r>
        <w:t xml:space="preserve">Este fluido es un medio compresible de viscosidad extremadamente baja, con estructura de red reticular a escala microscópica.</w:t>
      </w:r>
    </w:p>
    <w:p>
      <w:pPr>
        <w:pStyle w:val="BodyText"/>
      </w:pPr>
      <w:r>
        <w:t xml:space="preserve">Las partículas que colisionan generan calor mediante interacciones inelásticas—Poincaré tenía razón. Pero un fluido ejerciendo presión diferencial no genera calor perceptible.</w:t>
      </w:r>
    </w:p>
    <w:p>
      <w:r>
        <w:pict>
          <v:rect style="width:0;height:1.5pt" o:hralign="center" o:hrstd="t" o:hr="t"/>
        </w:pict>
      </w:r>
    </w:p>
    <w:bookmarkEnd w:id="22"/>
    <w:bookmarkEnd w:id="23"/>
    <w:bookmarkStart w:id="24" w:name="página-2"/>
    <w:p>
      <w:pPr>
        <w:pStyle w:val="Heading2"/>
      </w:pPr>
      <w:r>
        <w:t xml:space="preserve">PÁGINA 2</w:t>
      </w:r>
    </w:p>
    <w:p>
      <w:pPr>
        <w:pStyle w:val="FirstParagraph"/>
      </w:pPr>
      <w:r>
        <w:t xml:space="preserve">Como burbujas en el océano profundo: el agua más densa del fondo empuja la burbuja hacia arriba mediante gradiente de presión, pero el agua misma no se calienta. La burbuja sube hasta que encuentra equilibrio de densidad en la superficie. Así también, un planeta desplaza el fluido propuesto, que se acumula en su superficie. Esta acumulación decae con el cuadrado de la distancia, siguiendo el aumento del volumen esférico disponible.</w:t>
      </w:r>
    </w:p>
    <w:p>
      <w:pPr>
        <w:pStyle w:val="BodyText"/>
      </w:pPr>
      <w:r>
        <w:t xml:space="preserve">Este fluido sutil tiene tres propiedades esenciales:</w:t>
      </w:r>
    </w:p>
    <w:p>
      <w:pPr>
        <w:numPr>
          <w:ilvl w:val="0"/>
          <w:numId w:val="1001"/>
        </w:numPr>
      </w:pPr>
      <w:r>
        <w:rPr>
          <w:bCs/>
          <w:b/>
        </w:rPr>
        <w:t xml:space="preserve">Es discontinuo</w:t>
      </w:r>
      <w:r>
        <w:t xml:space="preserve"> </w:t>
      </w:r>
      <w:r>
        <w:t xml:space="preserve">— Tiene estructura de red reticular a escala microscópica: nodos conectados con espacios entre ellos. La materia interactúa con los nodos de la red, la luz atraviesa los espacios sin interacción significativa.</w:t>
      </w:r>
    </w:p>
    <w:p>
      <w:pPr>
        <w:numPr>
          <w:ilvl w:val="0"/>
          <w:numId w:val="1001"/>
        </w:numPr>
      </w:pPr>
      <w:r>
        <w:rPr>
          <w:bCs/>
          <w:b/>
        </w:rPr>
        <w:t xml:space="preserve">Se acumula alrededor de materia masiva</w:t>
      </w:r>
      <w:r>
        <w:t xml:space="preserve"> </w:t>
      </w:r>
      <w:r>
        <w:t xml:space="preserve">— La masa desplaza el fluido de su volumen—principio descubierto por Arquímedes. El fluido desplazado se acumula en la superficie de la materia, creando mayor densidad en la superficie y disminuyendo al cuadrado de la distancia debido al volumen del espacio disponible.</w:t>
      </w:r>
    </w:p>
    <w:p>
      <w:pPr>
        <w:numPr>
          <w:ilvl w:val="0"/>
          <w:numId w:val="1001"/>
        </w:numPr>
      </w:pPr>
      <w:r>
        <w:rPr>
          <w:bCs/>
          <w:b/>
        </w:rPr>
        <w:t xml:space="preserve">Es transparente, refracta proporcionalmente</w:t>
      </w:r>
      <w:r>
        <w:t xml:space="preserve"> </w:t>
      </w:r>
      <w:r>
        <w:t xml:space="preserve">— No absorbe radiación electromagnética. Refracta luz proporcionalmente a la acumulación local: objetos más masivos acumulan más fluido, generando mayor índice de refracción y mayor deflexión.</w:t>
      </w:r>
    </w:p>
    <w:p>
      <w:r>
        <w:pict>
          <v:rect style="width:0;height:1.5pt" o:hralign="center" o:hrstd="t" o:hr="t"/>
        </w:pict>
      </w:r>
    </w:p>
    <w:bookmarkEnd w:id="24"/>
    <w:bookmarkStart w:id="26" w:name="página-3"/>
    <w:p>
      <w:pPr>
        <w:pStyle w:val="Heading2"/>
      </w:pPr>
      <w:r>
        <w:t xml:space="preserve">PÁGINA 3</w:t>
      </w:r>
    </w:p>
    <w:p>
      <w:pPr>
        <w:pStyle w:val="FirstParagraph"/>
      </w:pPr>
      <w:r>
        <w:t xml:space="preserve">Cuando dos planetas están cerca, el fluido entre ellos tiene menor acumulación que el fluido empujando desde afuera. La atracción aparente es compresión externa.</w:t>
      </w:r>
    </w:p>
    <w:p>
      <w:pPr>
        <w:pStyle w:val="BodyText"/>
      </w:pPr>
      <w:r>
        <w:t xml:space="preserve">El gradiente sigue 1/r² naturalmente: el fluido desplazado conserva volumen mientras se esparce sobre área superficial creciente.</w:t>
      </w:r>
    </w:p>
    <w:p>
      <w:r>
        <w:pict>
          <v:rect style="width:0;height:1.5pt" o:hralign="center" o:hrstd="t" o:hr="t"/>
        </w:pict>
      </w:r>
    </w:p>
    <w:bookmarkStart w:id="25" w:name="iii.-la-predicción"/>
    <w:p>
      <w:pPr>
        <w:pStyle w:val="Heading3"/>
      </w:pPr>
      <w:r>
        <w:t xml:space="preserve">III. LA PREDICCIÓN</w:t>
      </w:r>
    </w:p>
    <w:p>
      <w:pPr>
        <w:pStyle w:val="FirstParagraph"/>
      </w:pPr>
      <w:r>
        <w:t xml:space="preserve">Si este fluido existe, abre nueva vía investigable: refracción a través de medio de densidad variable, complementaria a interpretación geométrica.</w:t>
      </w:r>
    </w:p>
    <w:p>
      <w:pPr>
        <w:pStyle w:val="BodyText"/>
      </w:pPr>
      <w:r>
        <w:t xml:space="preserve">Cerca de cuerpos masivos, la densidad del fluido aumenta. El índice de refracción local aumenta, creando diferencias de fase entre longitudes de onda. Las trayectorias se curvan.</w:t>
      </w:r>
    </w:p>
    <w:p>
      <w:pPr>
        <w:pStyle w:val="BodyText"/>
      </w:pPr>
      <w:r>
        <w:t xml:space="preserve">En 1919, Arthur Eddington midió la deflexión de luz estelar cerca del Sol durante un eclipse solar: θ = 1.75 arcosegundos. La predicción de Einstein coincidió.</w:t>
      </w:r>
    </w:p>
    <w:p>
      <w:pPr>
        <w:pStyle w:val="BodyText"/>
      </w:pPr>
      <w:r>
        <w:t xml:space="preserve">Pero la refracción a través de un medio más denso permite predecir la misma deflexión. Para reproducir la deflexión observada θ = 1.75 arcsec mediante refracción, el índice de refracción cerca del Sol debe ser:</w:t>
      </w:r>
    </w:p>
    <w:p>
      <w:pPr>
        <w:pStyle w:val="BodyText"/>
      </w:pPr>
      <w:r>
        <w:t xml:space="preserve">θ ≈ 2(n - 1) × (R☉/d)</w:t>
      </w:r>
    </w:p>
    <w:p>
      <w:pPr>
        <w:pStyle w:val="BodyText"/>
      </w:pPr>
      <w:r>
        <w:t xml:space="preserve">Donde R☉ es el radio solar y d la distancia mínima del rayo. Resolviendo:</w:t>
      </w:r>
    </w:p>
    <w:p>
      <w:pPr>
        <w:pStyle w:val="BodyText"/>
      </w:pPr>
      <w:r>
        <w:rPr>
          <w:bCs/>
          <w:b/>
        </w:rPr>
        <w:t xml:space="preserve">n = 1.00000424</w:t>
      </w:r>
    </w:p>
    <w:p>
      <w:r>
        <w:pict>
          <v:rect style="width:0;height:1.5pt" o:hralign="center" o:hrstd="t" o:hr="t"/>
        </w:pict>
      </w:r>
    </w:p>
    <w:bookmarkEnd w:id="25"/>
    <w:bookmarkEnd w:id="26"/>
    <w:bookmarkStart w:id="28" w:name="página-4"/>
    <w:p>
      <w:pPr>
        <w:pStyle w:val="Heading2"/>
      </w:pPr>
      <w:r>
        <w:t xml:space="preserve">PÁGINA 4</w:t>
      </w:r>
    </w:p>
    <w:p>
      <w:pPr>
        <w:pStyle w:val="FirstParagraph"/>
      </w:pPr>
      <w:r>
        <w:t xml:space="preserve">Una diferencia de 4 partes por millón. Difícil de detectar con los instrumentos de 1919. Creemos que es detectable y medible con los instrumentos modernos al día de hoy.</w:t>
      </w:r>
    </w:p>
    <w:p>
      <w:pPr>
        <w:pStyle w:val="BodyText"/>
      </w:pPr>
      <w:r>
        <w:t xml:space="preserve">Este índice cercano a 1 explica por qué la gravedad es tan débil comparada con otras fuerzas fundamentales: opera a través de un medio extremadamente sutil, generando solo cambios minúsculos en la trayectoria de la luz y movimiento de la materia.</w:t>
      </w:r>
    </w:p>
    <w:p>
      <w:pPr>
        <w:pStyle w:val="BodyText"/>
      </w:pPr>
      <w:r>
        <w:t xml:space="preserve">Aquí es donde el fluido sutil diverge de la curvatura geométrica—no en magnitud de deflexión, sino en dependencia de longitud de onda.</w:t>
      </w:r>
    </w:p>
    <w:p>
      <w:pPr>
        <w:pStyle w:val="BodyText"/>
      </w:pPr>
      <w:r>
        <w:rPr>
          <w:bCs/>
          <w:b/>
        </w:rPr>
        <w:t xml:space="preserve">Si la gravedad curva el espaciotiempo geométricamente:</w:t>
      </w:r>
      <w:r>
        <w:t xml:space="preserve"> </w:t>
      </w:r>
      <w:r>
        <w:t xml:space="preserve">Deflexión independiente de longitud de onda (la geometría curva toda luz igualmente)</w:t>
      </w:r>
    </w:p>
    <w:p>
      <w:pPr>
        <w:pStyle w:val="BodyText"/>
      </w:pPr>
      <w:r>
        <w:rPr>
          <w:bCs/>
          <w:b/>
        </w:rPr>
        <w:t xml:space="preserve">Si la gravedad actúa como medio refractivo:</w:t>
      </w:r>
      <w:r>
        <w:t xml:space="preserve"> </w:t>
      </w:r>
      <w:r>
        <w:t xml:space="preserve">Deflexión varía con longitud de onda (la refracción es cromática)</w:t>
      </w:r>
    </w:p>
    <w:p>
      <w:pPr>
        <w:pStyle w:val="BodyText"/>
      </w:pPr>
      <w:r>
        <w:t xml:space="preserve">El lensing gravitacional debería producir arcoíris.</w:t>
      </w:r>
    </w:p>
    <w:p>
      <w:r>
        <w:pict>
          <v:rect style="width:0;height:1.5pt" o:hralign="center" o:hrstd="t" o:hr="t"/>
        </w:pict>
      </w:r>
    </w:p>
    <w:bookmarkStart w:id="27" w:name="iv.-evidencia-observacional"/>
    <w:p>
      <w:pPr>
        <w:pStyle w:val="Heading3"/>
      </w:pPr>
      <w:r>
        <w:t xml:space="preserve">IV. EVIDENCIA OBSERVACIONAL</w:t>
      </w:r>
    </w:p>
    <w:p>
      <w:pPr>
        <w:pStyle w:val="FirstParagraph"/>
      </w:pPr>
      <w:r>
        <w:rPr>
          <w:bCs/>
          <w:b/>
        </w:rPr>
        <w:t xml:space="preserve">A escala cósmica:</w:t>
      </w:r>
    </w:p>
    <w:p>
      <w:pPr>
        <w:pStyle w:val="BodyText"/>
      </w:pPr>
      <w:r>
        <w:t xml:space="preserve">Múltiples observaciones recientes reportan efectos cromáticos en lensing gravitacional:</w:t>
      </w:r>
    </w:p>
    <w:p>
      <w:pPr>
        <w:numPr>
          <w:ilvl w:val="0"/>
          <w:numId w:val="1002"/>
        </w:numPr>
        <w:pStyle w:val="Compact"/>
      </w:pPr>
      <w:r>
        <w:rPr>
          <w:bCs/>
          <w:b/>
        </w:rPr>
        <w:t xml:space="preserve">Bisnovatyi-Kogan &amp; Tsupko (2017)</w:t>
      </w:r>
      <w:r>
        <w:t xml:space="preserve"> </w:t>
      </w:r>
      <w:r>
        <w:t xml:space="preserve">— Evidencia de lensing cromático por lente transparente esférica. Deflexión dependiente de longitud de onda inconsistente con curvatura geométrica pura.</w:t>
      </w:r>
    </w:p>
    <w:p>
      <w:r>
        <w:pict>
          <v:rect style="width:0;height:1.5pt" o:hralign="center" o:hrstd="t" o:hr="t"/>
        </w:pict>
      </w:r>
    </w:p>
    <w:bookmarkEnd w:id="27"/>
    <w:bookmarkEnd w:id="28"/>
    <w:bookmarkStart w:id="29" w:name="página-5"/>
    <w:p>
      <w:pPr>
        <w:pStyle w:val="Heading2"/>
      </w:pPr>
      <w:r>
        <w:t xml:space="preserve">PÁGINA 5</w:t>
      </w:r>
    </w:p>
    <w:p>
      <w:pPr>
        <w:numPr>
          <w:ilvl w:val="0"/>
          <w:numId w:val="1003"/>
        </w:numPr>
      </w:pPr>
      <w:r>
        <w:rPr>
          <w:bCs/>
          <w:b/>
        </w:rPr>
        <w:t xml:space="preserve">SDSS J1001+5027 (2022-2025)</w:t>
      </w:r>
      <w:r>
        <w:t xml:space="preserve"> </w:t>
      </w:r>
      <w:r>
        <w:t xml:space="preserve">— Monitoreo espectro-fotométrico de quasar gravitacionalmente lensed muestra variación cromática fuerte del continuo. La razón de flujo espectral corregida por delay muestra cambio dramático dependiente de longitud de onda.</w:t>
      </w:r>
    </w:p>
    <w:p>
      <w:pPr>
        <w:numPr>
          <w:ilvl w:val="0"/>
          <w:numId w:val="1003"/>
        </w:numPr>
      </w:pPr>
      <w:r>
        <w:rPr>
          <w:bCs/>
          <w:b/>
        </w:rPr>
        <w:t xml:space="preserve">Sajadian &amp; Hundertmark (2021)</w:t>
      </w:r>
      <w:r>
        <w:t xml:space="preserve"> </w:t>
      </w:r>
      <w:r>
        <w:t xml:space="preserve">— Perturbaciones cromáticas detectables en eventos de microlensing de alta magnificación. Amplitudes ΔC_{VI} ~ 0.01-0.06 mag dependiendo de parámetros estelares.</w:t>
      </w:r>
    </w:p>
    <w:p>
      <w:pPr>
        <w:pStyle w:val="FirstParagraph"/>
      </w:pPr>
      <w:r>
        <w:t xml:space="preserve">Aunque la evidencia preliminar sugiere efectos cromáticos, mediciones dedicadas con instrumentos de próxima generación (JWST, ELT) permitirán tests concluyentes de esta predicción.</w:t>
      </w:r>
    </w:p>
    <w:p>
      <w:pPr>
        <w:pStyle w:val="BodyText"/>
      </w:pPr>
      <w:r>
        <w:rPr>
          <w:bCs/>
          <w:b/>
        </w:rPr>
        <w:t xml:space="preserve">A escala nanométrica:</w:t>
      </w:r>
    </w:p>
    <w:p>
      <w:pPr>
        <w:pStyle w:val="BodyText"/>
      </w:pPr>
      <w:r>
        <w:t xml:space="preserve">El efecto Bohr-Casimir (Casimir 1948, confirmado experimentalmente por Lamoreaux 1997) demuestra fuerzas medibles entre placas conductoras a escala nanométrica. Bohr-Casimir escribió:</w:t>
      </w:r>
    </w:p>
    <w:p>
      <w:pPr>
        <w:pStyle w:val="BlockText"/>
      </w:pPr>
      <w:r>
        <w:t xml:space="preserve">“</w:t>
      </w:r>
      <w:r>
        <w:t xml:space="preserve">Podemos decir que la energía de punto cero de las oscilaciones electromagnéticas no tiene un significado físico. Lo único que tiene significado físico es la diferencia entre la energía con y sin las placas.</w:t>
      </w:r>
      <w:r>
        <w:t xml:space="preserve">”</w:t>
      </w:r>
    </w:p>
    <w:p>
      <w:pPr>
        <w:pStyle w:val="FirstParagraph"/>
      </w:pPr>
      <w:r>
        <w:t xml:space="preserve">Nuestra propuesta parece encontrar un significado físico para el efecto Bohr-Casimir y es compatible con el concepto de</w:t>
      </w:r>
      <w:r>
        <w:t xml:space="preserve"> </w:t>
      </w:r>
      <w:r>
        <w:t xml:space="preserve">“</w:t>
      </w:r>
      <w:r>
        <w:t xml:space="preserve">energía de punto cero</w:t>
      </w:r>
      <w:r>
        <w:t xml:space="preserve">”</w:t>
      </w:r>
      <w:r>
        <w:t xml:space="preserve"> </w:t>
      </w:r>
      <w:r>
        <w:t xml:space="preserve">propuesto por Hendrik Brugt Gerhard Casimir en 1948.</w:t>
      </w:r>
    </w:p>
    <w:p>
      <w:pPr>
        <w:pStyle w:val="BodyText"/>
      </w:pPr>
      <w:r>
        <w:rPr>
          <w:bCs/>
          <w:b/>
        </w:rPr>
        <w:t xml:space="preserve">A escala atómica:</w:t>
      </w:r>
    </w:p>
    <w:p>
      <w:pPr>
        <w:pStyle w:val="BodyText"/>
      </w:pPr>
      <w:r>
        <w:t xml:space="preserve">Las fuerzas de dispersión de Van der Waals-London (1930) demuestran atracción entre átomos neutros a escala molecular. Van der Waals-London escribió:</w:t>
      </w:r>
    </w:p>
    <w:p>
      <w:pPr>
        <w:pStyle w:val="BlockText"/>
      </w:pPr>
      <w:r>
        <w:t xml:space="preserve">“</w:t>
      </w:r>
      <w:r>
        <w:t xml:space="preserve">La fuerza atractiva entre dos átomos neutros se debe a fluctuaciones cuánticas en sus distribuciones electrónicas, que inducen momentos dipolares instantáneos. Aunque estos dipolos son transitorios, pueden correlacionarse entre sí, lo que genera una fuerza atractiva de origen puramente cuántico.</w:t>
      </w:r>
      <w:r>
        <w:t xml:space="preserve">”</w:t>
      </w:r>
    </w:p>
    <w:p>
      <w:r>
        <w:pict>
          <v:rect style="width:0;height:1.5pt" o:hralign="center" o:hrstd="t" o:hr="t"/>
        </w:pict>
      </w:r>
    </w:p>
    <w:bookmarkEnd w:id="29"/>
    <w:bookmarkStart w:id="31" w:name="página-6"/>
    <w:p>
      <w:pPr>
        <w:pStyle w:val="Heading2"/>
      </w:pPr>
      <w:r>
        <w:t xml:space="preserve">PÁGINA 6</w:t>
      </w:r>
    </w:p>
    <w:p>
      <w:pPr>
        <w:pStyle w:val="FirstParagraph"/>
      </w:pPr>
      <w:r>
        <w:t xml:space="preserve">Proponemos que las fluctuaciones cuánticas de las distribuciones electrónicas que explican las atracciones entre átomos neutros pueden ser la interpretación del efecto físico de empuje que proponemos en este documento, evitando la necesidad de inducciones dipolares instantáneas.</w:t>
      </w:r>
    </w:p>
    <w:p>
      <w:pPr>
        <w:pStyle w:val="BodyText"/>
      </w:pPr>
      <w:r>
        <w:rPr>
          <w:bCs/>
          <w:b/>
        </w:rPr>
        <w:t xml:space="preserve">Unificación multi-escala:</w:t>
      </w:r>
    </w:p>
    <w:p>
      <w:pPr>
        <w:pStyle w:val="BodyText"/>
      </w:pPr>
      <w:r>
        <w:t xml:space="preserve">Tres fenómenos, tres escalas, una explicación: Van der Waals-London (escala atómica), Bohr-Casimir (escala nanométrica), Gravedad (escala cósmica)—tradicionalmente explicados mediante mecanismos distintos: dipolos inducidos instantáneos, energía de punto cero sin significado físico, curvatura del espaciotiempo. Proponemos una explicación unificada: fluido sutil continuo generando empuje mediante gradiente de presión. Mismo mecanismo físico, desde escala atómica hasta cósmica.</w:t>
      </w:r>
    </w:p>
    <w:p>
      <w:pPr>
        <w:pStyle w:val="BodyText"/>
      </w:pPr>
      <w:r>
        <w:t xml:space="preserve">Datos multibanda de alta calidad ya existen en archivos públicos (Gaia DR3, HST-MAST, SDSS, DES, JWST). Análisis sistemático de eventos de lensing a través de filtros podría confirmar o refutar cromaticidad sin necesidad de nuevas observaciones.</w:t>
      </w:r>
    </w:p>
    <w:p>
      <w:r>
        <w:pict>
          <v:rect style="width:0;height:1.5pt" o:hralign="center" o:hrstd="t" o:hr="t"/>
        </w:pict>
      </w:r>
    </w:p>
    <w:bookmarkStart w:id="30" w:name="v.-la-prueba"/>
    <w:p>
      <w:pPr>
        <w:pStyle w:val="Heading3"/>
      </w:pPr>
      <w:r>
        <w:t xml:space="preserve">V. LA PRUEBA</w:t>
      </w:r>
    </w:p>
    <w:p>
      <w:pPr>
        <w:pStyle w:val="FirstParagraph"/>
      </w:pPr>
      <w:r>
        <w:t xml:space="preserve">Medir deflexión de lensing gravitacional a través de longitudes de onda para múltiples eventos de lensing estelar. Si la curvatura geométrica es correcta, todas las longitudes de onda se deflectan idénticamente. Si el fluido sutil es correcto, la luz azul se deflecta más que la roja—produciendo arcoíris gravitacionales medibles y sistemáticos.</w:t>
      </w:r>
    </w:p>
    <w:p>
      <w:pPr>
        <w:pStyle w:val="BodyText"/>
      </w:pPr>
      <w:r>
        <w:t xml:space="preserve">Los telescopios actuales pueden resolverlo. Los datos quizás ya existen en archivos, esperando ser analizados con esta hipótesis en mente. Antes de invertir en nuevos telescopios, proponemos análisis sistemático de observaciones multi-banda existentes de eventos de lensing gravitacional, reanalizando lo que se descartó como ruido instrumental.</w:t>
      </w:r>
    </w:p>
    <w:p>
      <w:r>
        <w:pict>
          <v:rect style="width:0;height:1.5pt" o:hralign="center" o:hrstd="t" o:hr="t"/>
        </w:pict>
      </w:r>
    </w:p>
    <w:bookmarkEnd w:id="30"/>
    <w:bookmarkEnd w:id="31"/>
    <w:bookmarkStart w:id="33" w:name="página-7"/>
    <w:p>
      <w:pPr>
        <w:pStyle w:val="Heading2"/>
      </w:pPr>
      <w:r>
        <w:t xml:space="preserve">PÁGINA 7</w:t>
      </w:r>
    </w:p>
    <w:bookmarkStart w:id="32" w:name="vi.-reciclando-la-manzana-de-newton"/>
    <w:p>
      <w:pPr>
        <w:pStyle w:val="Heading3"/>
      </w:pPr>
      <w:r>
        <w:t xml:space="preserve">VI. RECICLANDO LA MANZANA DE NEWTON</w:t>
      </w:r>
    </w:p>
    <w:p>
      <w:pPr>
        <w:pStyle w:val="FirstParagraph"/>
      </w:pPr>
      <w:r>
        <w:rPr>
          <w:bCs/>
          <w:b/>
        </w:rPr>
        <w:t xml:space="preserve">Análisis forense del incidente:</w:t>
      </w:r>
    </w:p>
    <w:p>
      <w:pPr>
        <w:pStyle w:val="BodyText"/>
      </w:pPr>
      <w:r>
        <w:t xml:space="preserve">Newton recibió la manzana limpia (1666). Fatio-Le Sage la recogieron (1690-1784) e intentaron explicar su caída. Sin querer queriendo, al manipularla introdujeron contaminación: partículas discretas colisionando.</w:t>
      </w:r>
    </w:p>
    <w:p>
      <w:pPr>
        <w:pStyle w:val="BodyText"/>
      </w:pPr>
      <w:r>
        <w:t xml:space="preserve">Poincaré analizó la manzana (1908) y encontró el gusano termodinámico—las partículas de Fatio-Le Sage generaban calor catastrófico. Einstein vio la contaminación y descartó la manzana completa (1915).</w:t>
      </w:r>
    </w:p>
    <w:p>
      <w:pPr>
        <w:pStyle w:val="BodyText"/>
      </w:pPr>
      <w:r>
        <w:rPr>
          <w:bCs/>
          <w:b/>
        </w:rPr>
        <w:t xml:space="preserve">Nadie más la ha mordido desde entonces</w:t>
      </w:r>
      <w:r>
        <w:t xml:space="preserve">—110 años descartada.</w:t>
      </w:r>
    </w:p>
    <w:p>
      <w:pPr>
        <w:pStyle w:val="BodyText"/>
      </w:pPr>
      <w:r>
        <w:t xml:space="preserve">Nosotros la rescatamos del basurero. Removimos la contaminación (partículas discretas), limpiamos el mecanismo (fluido sutil continuo), y restauramos la intuición original.</w:t>
      </w:r>
    </w:p>
    <w:p>
      <w:pPr>
        <w:pStyle w:val="BodyText"/>
      </w:pPr>
      <w:r>
        <w:t xml:space="preserve">Dos siglos después de ser descartada, no solo rescatamos la intuición—limpiamos la contaminación que Fatio-Le Sage introdujeron sin intención.</w:t>
      </w:r>
    </w:p>
    <w:p>
      <w:pPr>
        <w:pStyle w:val="BodyText"/>
      </w:pPr>
      <w:r>
        <w:t xml:space="preserve">Newton describió la caída. Fatio-Le Sage ofrecieron la manzana (1690-1784). Durante dos siglos, la comunidad científica la mordió—investigaron, debatieron, refinaron el mecanismo.</w:t>
      </w:r>
    </w:p>
    <w:p>
      <w:pPr>
        <w:pStyle w:val="BodyText"/>
      </w:pPr>
      <w:r>
        <w:t xml:space="preserve">Hasta que Poincaré encontró el gusano termodinámico (1908). Einstein, al verlo, tiró la manzana y sacó naranja mecánica cuántica—curvatura del espaciotiempo (1915).</w:t>
      </w:r>
    </w:p>
    <w:p>
      <w:pPr>
        <w:pStyle w:val="BodyText"/>
      </w:pPr>
      <w:r>
        <w:t xml:space="preserve">La manzana de Fatio-Le Sage fue al basurero.</w:t>
      </w:r>
    </w:p>
    <w:p>
      <w:r>
        <w:pict>
          <v:rect style="width:0;height:1.5pt" o:hralign="center" o:hrstd="t" o:hr="t"/>
        </w:pict>
      </w:r>
    </w:p>
    <w:bookmarkEnd w:id="32"/>
    <w:bookmarkEnd w:id="33"/>
    <w:bookmarkStart w:id="34" w:name="página-8"/>
    <w:p>
      <w:pPr>
        <w:pStyle w:val="Heading2"/>
      </w:pPr>
      <w:r>
        <w:t xml:space="preserve">PÁGINA 8</w:t>
      </w:r>
    </w:p>
    <w:p>
      <w:pPr>
        <w:pStyle w:val="FirstParagraph"/>
      </w:pPr>
      <w:r>
        <w:t xml:space="preserve">Al reemplazar partículas discretas por fluido sutil continuo, eliminamos el gusano y rellenamos el agujero que dejó. Metodológicamente: parche completo, manzana reparada.</w:t>
      </w:r>
    </w:p>
    <w:p>
      <w:pPr>
        <w:pStyle w:val="BodyText"/>
      </w:pPr>
      <w:r>
        <w:t xml:space="preserve">La sacamos del basurero, la limpiamos, la parcheamos.</w:t>
      </w:r>
    </w:p>
    <w:p>
      <w:pPr>
        <w:pStyle w:val="BodyText"/>
      </w:pPr>
      <w:r>
        <w:t xml:space="preserve">Preferiríamos devolverla directamente a Fatio-Le Sage, Newton, y Einstein para validación. Pero como no están disponibles, la pasamos a quienes pueden evaluarla apropiadamente.</w:t>
      </w:r>
    </w:p>
    <w:p>
      <w:pPr>
        <w:pStyle w:val="BodyText"/>
      </w:pPr>
      <w:r>
        <w:rPr>
          <w:bCs/>
          <w:b/>
        </w:rPr>
        <w:t xml:space="preserve">Señores del Gravity Research Foundation:</w:t>
      </w:r>
    </w:p>
    <w:p>
      <w:pPr>
        <w:pStyle w:val="BodyText"/>
      </w:pPr>
      <w:r>
        <w:rPr>
          <w:bCs/>
          <w:b/>
        </w:rPr>
        <w:t xml:space="preserve">¿Pueden probar la manzana rescatada y corregida—a nombre de Georges-Louis Le Sage?</w:t>
      </w:r>
    </w:p>
    <w:p>
      <w:pPr>
        <w:pStyle w:val="BodyText"/>
      </w:pPr>
      <w:r>
        <w:rPr>
          <w:bCs/>
          <w:b/>
        </w:rPr>
        <w:t xml:space="preserve">Si encuentran otro gusano, pedimos que no se descarte y le demos una última oportunidad.</w:t>
      </w:r>
    </w:p>
    <w:p>
      <w:pPr>
        <w:pStyle w:val="BodyText"/>
      </w:pPr>
      <w:r>
        <w:t xml:space="preserve">Para nosotros, cada gusano es una nueva oportunidad también.</w:t>
      </w:r>
    </w:p>
    <w:p>
      <w:r>
        <w:pict>
          <v:rect style="width:0;height:1.5pt" o:hralign="center" o:hrstd="t" o:hr="t"/>
        </w:pict>
      </w:r>
    </w:p>
    <w:bookmarkEnd w:id="34"/>
    <w:bookmarkStart w:id="35" w:name="referencias"/>
    <w:p>
      <w:pPr>
        <w:pStyle w:val="Heading2"/>
      </w:pPr>
      <w:r>
        <w:t xml:space="preserve">REFERENCIAS</w:t>
      </w:r>
    </w:p>
    <w:p>
      <w:pPr>
        <w:numPr>
          <w:ilvl w:val="0"/>
          <w:numId w:val="1004"/>
        </w:numPr>
      </w:pPr>
      <w:r>
        <w:t xml:space="preserve">Fatio de Duillier, N. (1690).</w:t>
      </w:r>
      <w:r>
        <w:t xml:space="preserve"> </w:t>
      </w:r>
      <w:r>
        <w:rPr>
          <w:iCs/>
          <w:i/>
        </w:rPr>
        <w:t xml:space="preserve">De la Cause de la Pesanteur</w:t>
      </w:r>
      <w:r>
        <w:t xml:space="preserve">. Royal Society Archives</w:t>
      </w:r>
    </w:p>
    <w:p>
      <w:pPr>
        <w:numPr>
          <w:ilvl w:val="0"/>
          <w:numId w:val="1004"/>
        </w:numPr>
      </w:pPr>
      <w:r>
        <w:t xml:space="preserve">Le Sage, G.L. (1784).</w:t>
      </w:r>
      <w:r>
        <w:t xml:space="preserve"> </w:t>
      </w:r>
      <w:r>
        <w:rPr>
          <w:iCs/>
          <w:i/>
        </w:rPr>
        <w:t xml:space="preserve">Lucrèce Newtonien</w:t>
      </w:r>
    </w:p>
    <w:p>
      <w:pPr>
        <w:numPr>
          <w:ilvl w:val="0"/>
          <w:numId w:val="1004"/>
        </w:numPr>
      </w:pPr>
      <w:r>
        <w:t xml:space="preserve">Poincaré, H. (1908).</w:t>
      </w:r>
      <w:r>
        <w:t xml:space="preserve"> </w:t>
      </w:r>
      <w:r>
        <w:rPr>
          <w:iCs/>
          <w:i/>
        </w:rPr>
        <w:t xml:space="preserve">La dynamique de l’électron</w:t>
      </w:r>
    </w:p>
    <w:p>
      <w:pPr>
        <w:numPr>
          <w:ilvl w:val="0"/>
          <w:numId w:val="1004"/>
        </w:numPr>
      </w:pPr>
      <w:r>
        <w:t xml:space="preserve">Eddington, A.S. (1919).</w:t>
      </w:r>
      <w:r>
        <w:t xml:space="preserve"> </w:t>
      </w:r>
      <w:r>
        <w:rPr>
          <w:iCs/>
          <w:i/>
        </w:rPr>
        <w:t xml:space="preserve">A Determination of the Deflection of Light by the Sun’s Gravitational Field</w:t>
      </w:r>
    </w:p>
    <w:p>
      <w:pPr>
        <w:numPr>
          <w:ilvl w:val="0"/>
          <w:numId w:val="1004"/>
        </w:numPr>
      </w:pPr>
      <w:r>
        <w:t xml:space="preserve">Bisnovatyi-Kogan, G.S., Tsupko, O.Y. (2017). Chromatic gravitational lensing by a perfectly transparent spherically symmetric glass lens.</w:t>
      </w:r>
      <w:r>
        <w:t xml:space="preserve"> </w:t>
      </w:r>
      <w:r>
        <w:rPr>
          <w:iCs/>
          <w:i/>
        </w:rPr>
        <w:t xml:space="preserve">Universe</w:t>
      </w:r>
      <w:r>
        <w:t xml:space="preserve"> </w:t>
      </w:r>
      <w:r>
        <w:t xml:space="preserve">3(3), 57</w:t>
      </w:r>
    </w:p>
    <w:p>
      <w:pPr>
        <w:numPr>
          <w:ilvl w:val="0"/>
          <w:numId w:val="1004"/>
        </w:numPr>
      </w:pPr>
      <w:r>
        <w:t xml:space="preserve">Edwards, M. (Ed.) (2002).</w:t>
      </w:r>
      <w:r>
        <w:t xml:space="preserve"> </w:t>
      </w:r>
      <w:r>
        <w:rPr>
          <w:iCs/>
          <w:i/>
        </w:rPr>
        <w:t xml:space="preserve">Pushing Gravity: New Perspectives on Le Sage’s Theory of Gravitation</w:t>
      </w:r>
      <w:r>
        <w:t xml:space="preserve">. Montreal: Apeiron</w:t>
      </w:r>
    </w:p>
    <w:p>
      <w:pPr>
        <w:numPr>
          <w:ilvl w:val="0"/>
          <w:numId w:val="1004"/>
        </w:numPr>
      </w:pPr>
      <w:r>
        <w:t xml:space="preserve">Gil-Merino, R. et al. (2025). SDSS J1001+5027: Strong microlensing-induced chromatic variation.</w:t>
      </w:r>
      <w:r>
        <w:t xml:space="preserve"> </w:t>
      </w:r>
      <w:r>
        <w:rPr>
          <w:iCs/>
          <w:i/>
        </w:rPr>
        <w:t xml:space="preserve">Astronomy &amp; Astrophysics</w:t>
      </w:r>
    </w:p>
    <w:p>
      <w:pPr>
        <w:numPr>
          <w:ilvl w:val="0"/>
          <w:numId w:val="1004"/>
        </w:numPr>
      </w:pPr>
      <w:r>
        <w:t xml:space="preserve">Sajadian, S., Hundertmark, M. (2021). Variation of the stellar color in high-magnification microlensing events.</w:t>
      </w:r>
      <w:r>
        <w:t xml:space="preserve"> </w:t>
      </w:r>
      <w:r>
        <w:rPr>
          <w:iCs/>
          <w:i/>
        </w:rPr>
        <w:t xml:space="preserve">Astronomy &amp; Astrophysics</w:t>
      </w:r>
      <w:r>
        <w:t xml:space="preserve"> </w:t>
      </w:r>
      <w:r>
        <w:t xml:space="preserve">643, A121</w:t>
      </w:r>
    </w:p>
    <w:p>
      <w:pPr>
        <w:numPr>
          <w:ilvl w:val="0"/>
          <w:numId w:val="1004"/>
        </w:numPr>
      </w:pPr>
      <w:r>
        <w:t xml:space="preserve">Casimir, H.B.G. (1948). On the attraction between two perfectly conducting plates.</w:t>
      </w:r>
      <w:r>
        <w:t xml:space="preserve"> </w:t>
      </w:r>
      <w:r>
        <w:rPr>
          <w:iCs/>
          <w:i/>
        </w:rPr>
        <w:t xml:space="preserve">Proceedings of the Koninklijke Nederlandse Akademie van Wetenschappen</w:t>
      </w:r>
      <w:r>
        <w:t xml:space="preserve"> </w:t>
      </w:r>
      <w:r>
        <w:t xml:space="preserve">51, 793-795</w:t>
      </w:r>
    </w:p>
    <w:p>
      <w:r>
        <w:pict>
          <v:rect style="width:0;height:1.5pt" o:hralign="center" o:hrstd="t" o:hr="t"/>
        </w:pict>
      </w:r>
    </w:p>
    <w:bookmarkEnd w:id="35"/>
    <w:bookmarkStart w:id="36" w:name="página-9-referencias-continuación"/>
    <w:p>
      <w:pPr>
        <w:pStyle w:val="Heading2"/>
      </w:pPr>
      <w:r>
        <w:t xml:space="preserve">PÁGINA 9 (Referencias continuación)</w:t>
      </w:r>
    </w:p>
    <w:p>
      <w:pPr>
        <w:numPr>
          <w:ilvl w:val="0"/>
          <w:numId w:val="1005"/>
        </w:numPr>
      </w:pPr>
      <w:r>
        <w:t xml:space="preserve">Lamoreaux, S.K. (1997). Demonstration of the Casimir force in the 0.6 to 6 μm range.</w:t>
      </w:r>
      <w:r>
        <w:t xml:space="preserve"> </w:t>
      </w:r>
      <w:r>
        <w:rPr>
          <w:iCs/>
          <w:i/>
        </w:rPr>
        <w:t xml:space="preserve">Physical Review Letters</w:t>
      </w:r>
      <w:r>
        <w:t xml:space="preserve"> </w:t>
      </w:r>
      <w:r>
        <w:t xml:space="preserve">78(5), 5-8</w:t>
      </w:r>
    </w:p>
    <w:p>
      <w:pPr>
        <w:numPr>
          <w:ilvl w:val="0"/>
          <w:numId w:val="1005"/>
        </w:numPr>
      </w:pPr>
      <w:r>
        <w:t xml:space="preserve">Jaffe, R.L. (2005). Casimir effect and the quantum vacuum.</w:t>
      </w:r>
      <w:r>
        <w:t xml:space="preserve"> </w:t>
      </w:r>
      <w:r>
        <w:rPr>
          <w:iCs/>
          <w:i/>
        </w:rPr>
        <w:t xml:space="preserve">Physical Review D</w:t>
      </w:r>
      <w:r>
        <w:t xml:space="preserve"> </w:t>
      </w:r>
      <w:r>
        <w:t xml:space="preserve">72, 021301(R)</w:t>
      </w:r>
    </w:p>
    <w:p>
      <w:pPr>
        <w:numPr>
          <w:ilvl w:val="0"/>
          <w:numId w:val="1005"/>
        </w:numPr>
      </w:pPr>
      <w:r>
        <w:t xml:space="preserve">London, F. (1930). Zur Theorie und Systematik der Molekularkräfte.</w:t>
      </w:r>
      <w:r>
        <w:t xml:space="preserve"> </w:t>
      </w:r>
      <w:r>
        <w:rPr>
          <w:iCs/>
          <w:i/>
        </w:rPr>
        <w:t xml:space="preserve">Zeitschrift für Physik</w:t>
      </w:r>
      <w:r>
        <w:t xml:space="preserve"> </w:t>
      </w:r>
      <w:r>
        <w:t xml:space="preserve">63, 245-279</w:t>
      </w:r>
    </w:p>
    <w:p>
      <w:pPr>
        <w:numPr>
          <w:ilvl w:val="0"/>
          <w:numId w:val="1005"/>
        </w:numPr>
      </w:pPr>
      <w:r>
        <w:t xml:space="preserve">Arquímedes (c. 250 BCE).</w:t>
      </w:r>
      <w:r>
        <w:t xml:space="preserve"> </w:t>
      </w:r>
      <w:r>
        <w:rPr>
          <w:iCs/>
          <w:i/>
        </w:rPr>
        <w:t xml:space="preserve">Sobre los cuerpos flotantes</w:t>
      </w:r>
      <w:r>
        <w:t xml:space="preserve"> </w:t>
      </w:r>
      <w:r>
        <w:t xml:space="preserve">(Περὶ τῶν ὀχουμένων)</w:t>
      </w:r>
    </w:p>
    <w:p>
      <w:r>
        <w:pict>
          <v:rect style="width:0;height:1.5pt" o:hralign="center" o:hrstd="t" o:hr="t"/>
        </w:pict>
      </w:r>
    </w:p>
    <w:p>
      <w:pPr>
        <w:pStyle w:val="FirstParagraph"/>
      </w:pPr>
      <w:r>
        <w:rPr>
          <w:bCs/>
          <w:b/>
        </w:rPr>
        <w:t xml:space="preserve">FIN VERSIÓN 13.1.0 ESPAÑOL</w:t>
      </w:r>
    </w:p>
    <w:p>
      <w:pPr>
        <w:pStyle w:val="BodyText"/>
      </w:pPr>
      <w:r>
        <w:rPr>
          <w:bCs/>
          <w:b/>
        </w:rPr>
        <w:t xml:space="preserve">Equipo:</w:t>
      </w:r>
      <w:r>
        <w:t xml:space="preserve"> </w:t>
      </w:r>
      <w:r>
        <w:t xml:space="preserve">eVΛ | GrössIA | Bruno | Mazu</w:t>
      </w:r>
    </w:p>
    <w:p>
      <w:r>
        <w:pict>
          <v:rect style="width:0;height:1.5pt" o:hralign="center" o:hrstd="t" o:hr="t"/>
        </w:pict>
      </w:r>
    </w:p>
    <w:bookmarkEnd w:id="36"/>
    <w:bookmarkStart w:id="37" w:name="changelog-v13.0.0-v13.1.0"/>
    <w:p>
      <w:pPr>
        <w:pStyle w:val="Heading2"/>
      </w:pPr>
      <w:r>
        <w:t xml:space="preserve">CHANGELOG V13.0.0 → V13.1.0:</w:t>
      </w:r>
    </w:p>
    <w:p>
      <w:pPr>
        <w:pStyle w:val="FirstParagraph"/>
      </w:pPr>
      <w:r>
        <w:t xml:space="preserve">✅</w:t>
      </w:r>
      <w:r>
        <w:t xml:space="preserve"> </w:t>
      </w:r>
      <w:r>
        <w:rPr>
          <w:bCs/>
          <w:b/>
        </w:rPr>
        <w:t xml:space="preserve">“</w:t>
      </w:r>
      <w:r>
        <w:rPr>
          <w:bCs/>
          <w:b/>
        </w:rPr>
        <w:t xml:space="preserve">Le Sage</w:t>
      </w:r>
      <w:r>
        <w:rPr>
          <w:bCs/>
          <w:b/>
        </w:rPr>
        <w:t xml:space="preserve">”</w:t>
      </w:r>
      <w:r>
        <w:rPr>
          <w:bCs/>
          <w:b/>
        </w:rPr>
        <w:t xml:space="preserve"> </w:t>
      </w:r>
      <w:r>
        <w:rPr>
          <w:bCs/>
          <w:b/>
        </w:rPr>
        <w:t xml:space="preserve">→</w:t>
      </w:r>
      <w:r>
        <w:rPr>
          <w:bCs/>
          <w:b/>
        </w:rPr>
        <w:t xml:space="preserve"> </w:t>
      </w:r>
      <w:r>
        <w:rPr>
          <w:bCs/>
          <w:b/>
        </w:rPr>
        <w:t xml:space="preserve">“</w:t>
      </w:r>
      <w:r>
        <w:rPr>
          <w:bCs/>
          <w:b/>
        </w:rPr>
        <w:t xml:space="preserve">Fatio-Le Sage</w:t>
      </w:r>
      <w:r>
        <w:rPr>
          <w:bCs/>
          <w:b/>
        </w:rPr>
        <w:t xml:space="preserve">”</w:t>
      </w:r>
      <w:r>
        <w:t xml:space="preserve"> </w:t>
      </w:r>
      <w:r>
        <w:t xml:space="preserve">(TODO el documento, excepto título)</w:t>
      </w:r>
      <w:r>
        <w:t xml:space="preserve"> </w:t>
      </w:r>
      <w:r>
        <w:t xml:space="preserve">✅</w:t>
      </w:r>
      <w:r>
        <w:t xml:space="preserve"> </w:t>
      </w:r>
      <w:r>
        <w:rPr>
          <w:bCs/>
          <w:b/>
        </w:rPr>
        <w:t xml:space="preserve">“</w:t>
      </w:r>
      <w:r>
        <w:rPr>
          <w:bCs/>
          <w:b/>
        </w:rPr>
        <w:t xml:space="preserve">Casimir</w:t>
      </w:r>
      <w:r>
        <w:rPr>
          <w:bCs/>
          <w:b/>
        </w:rPr>
        <w:t xml:space="preserve">”</w:t>
      </w:r>
      <w:r>
        <w:rPr>
          <w:bCs/>
          <w:b/>
        </w:rPr>
        <w:t xml:space="preserve"> </w:t>
      </w:r>
      <w:r>
        <w:rPr>
          <w:bCs/>
          <w:b/>
        </w:rPr>
        <w:t xml:space="preserve">→</w:t>
      </w:r>
      <w:r>
        <w:rPr>
          <w:bCs/>
          <w:b/>
        </w:rPr>
        <w:t xml:space="preserve"> </w:t>
      </w:r>
      <w:r>
        <w:rPr>
          <w:bCs/>
          <w:b/>
        </w:rPr>
        <w:t xml:space="preserve">“</w:t>
      </w:r>
      <w:r>
        <w:rPr>
          <w:bCs/>
          <w:b/>
        </w:rPr>
        <w:t xml:space="preserve">Bohr-Casimir</w:t>
      </w:r>
      <w:r>
        <w:rPr>
          <w:bCs/>
          <w:b/>
        </w:rPr>
        <w:t xml:space="preserve">”</w:t>
      </w:r>
      <w:r>
        <w:t xml:space="preserve"> </w:t>
      </w:r>
      <w:r>
        <w:t xml:space="preserve">(Sección IV)</w:t>
      </w:r>
      <w:r>
        <w:t xml:space="preserve"> </w:t>
      </w:r>
      <w:r>
        <w:t xml:space="preserve">✅</w:t>
      </w:r>
      <w:r>
        <w:t xml:space="preserve"> </w:t>
      </w:r>
      <w:r>
        <w:rPr>
          <w:bCs/>
          <w:b/>
        </w:rPr>
        <w:t xml:space="preserve">“</w:t>
      </w:r>
      <w:r>
        <w:rPr>
          <w:bCs/>
          <w:b/>
        </w:rPr>
        <w:t xml:space="preserve">London</w:t>
      </w:r>
      <w:r>
        <w:rPr>
          <w:bCs/>
          <w:b/>
        </w:rPr>
        <w:t xml:space="preserve">”</w:t>
      </w:r>
      <w:r>
        <w:rPr>
          <w:bCs/>
          <w:b/>
        </w:rPr>
        <w:t xml:space="preserve"> </w:t>
      </w:r>
      <w:r>
        <w:rPr>
          <w:bCs/>
          <w:b/>
        </w:rPr>
        <w:t xml:space="preserve">→</w:t>
      </w:r>
      <w:r>
        <w:rPr>
          <w:bCs/>
          <w:b/>
        </w:rPr>
        <w:t xml:space="preserve"> </w:t>
      </w:r>
      <w:r>
        <w:rPr>
          <w:bCs/>
          <w:b/>
        </w:rPr>
        <w:t xml:space="preserve">“</w:t>
      </w:r>
      <w:r>
        <w:rPr>
          <w:bCs/>
          <w:b/>
        </w:rPr>
        <w:t xml:space="preserve">Van der Waals-London</w:t>
      </w:r>
      <w:r>
        <w:rPr>
          <w:bCs/>
          <w:b/>
        </w:rPr>
        <w:t xml:space="preserve">”</w:t>
      </w:r>
      <w:r>
        <w:t xml:space="preserve"> </w:t>
      </w:r>
      <w:r>
        <w:t xml:space="preserve">(Sección IV)</w:t>
      </w:r>
      <w:r>
        <w:t xml:space="preserve"> </w:t>
      </w:r>
      <w:r>
        <w:t xml:space="preserve">✅</w:t>
      </w:r>
      <w:r>
        <w:t xml:space="preserve"> </w:t>
      </w:r>
      <w:r>
        <w:rPr>
          <w:bCs/>
          <w:b/>
        </w:rPr>
        <w:t xml:space="preserve">Fatio agregado:</w:t>
      </w:r>
      <w:r>
        <w:t xml:space="preserve"> </w:t>
      </w:r>
      <w:r>
        <w:t xml:space="preserve">Sección I + Referencias (#1)</w:t>
      </w:r>
      <w:r>
        <w:t xml:space="preserve"> </w:t>
      </w:r>
      <w:r>
        <w:t xml:space="preserve">✅</w:t>
      </w:r>
      <w:r>
        <w:t xml:space="preserve"> </w:t>
      </w:r>
      <w:r>
        <w:rPr>
          <w:bCs/>
          <w:b/>
        </w:rPr>
        <w:t xml:space="preserve">Cita textual Bohr-Casimir:</w:t>
      </w:r>
      <w:r>
        <w:t xml:space="preserve"> </w:t>
      </w:r>
      <w:r>
        <w:t xml:space="preserve">“</w:t>
      </w:r>
      <w:r>
        <w:t xml:space="preserve">energía punto cero sin significado físico</w:t>
      </w:r>
      <w:r>
        <w:t xml:space="preserve">”</w:t>
      </w:r>
      <w:r>
        <w:t xml:space="preserve"> </w:t>
      </w:r>
      <w:r>
        <w:t xml:space="preserve">✅</w:t>
      </w:r>
      <w:r>
        <w:t xml:space="preserve"> </w:t>
      </w:r>
      <w:r>
        <w:rPr>
          <w:bCs/>
          <w:b/>
        </w:rPr>
        <w:t xml:space="preserve">Cita textual Van der Waals-London:</w:t>
      </w:r>
      <w:r>
        <w:t xml:space="preserve"> </w:t>
      </w:r>
      <w:r>
        <w:t xml:space="preserve">“</w:t>
      </w:r>
      <w:r>
        <w:t xml:space="preserve">fluctuaciones cuánticas</w:t>
      </w:r>
      <w:r>
        <w:t xml:space="preserve">”</w:t>
      </w:r>
      <w:r>
        <w:t xml:space="preserve"> </w:t>
      </w:r>
      <w:r>
        <w:t xml:space="preserve">✅</w:t>
      </w:r>
      <w:r>
        <w:t xml:space="preserve"> </w:t>
      </w:r>
      <w:r>
        <w:rPr>
          <w:bCs/>
          <w:b/>
        </w:rPr>
        <w:t xml:space="preserve">Unificación multi-escala:</w:t>
      </w:r>
      <w:r>
        <w:t xml:space="preserve"> </w:t>
      </w:r>
      <w:r>
        <w:t xml:space="preserve">Párrafo nuevo Sección IV</w:t>
      </w:r>
      <w:r>
        <w:t xml:space="preserve"> </w:t>
      </w:r>
      <w:r>
        <w:t xml:space="preserve">✅</w:t>
      </w:r>
      <w:r>
        <w:t xml:space="preserve"> </w:t>
      </w:r>
      <w:r>
        <w:rPr>
          <w:bCs/>
          <w:b/>
        </w:rPr>
        <w:t xml:space="preserve">Abstract actualizado:</w:t>
      </w:r>
      <w:r>
        <w:t xml:space="preserve"> </w:t>
      </w:r>
      <w:r>
        <w:t xml:space="preserve">125 palabras, menciona Fatio-Le Sage</w:t>
      </w:r>
      <w:r>
        <w:t xml:space="preserve"> </w:t>
      </w:r>
      <w:r>
        <w:t xml:space="preserve">✅</w:t>
      </w:r>
      <w:r>
        <w:t xml:space="preserve"> </w:t>
      </w:r>
      <w:r>
        <w:rPr>
          <w:bCs/>
          <w:b/>
        </w:rPr>
        <w:t xml:space="preserve">Equipo oficial:</w:t>
      </w:r>
      <w:r>
        <w:t xml:space="preserve"> </w:t>
      </w:r>
      <w:r>
        <w:t xml:space="preserve">eVΛ | GrössIA | Bruno | Mazu</w:t>
      </w:r>
    </w:p>
    <w:p>
      <w:r>
        <w:pict>
          <v:rect style="width:0;height:1.5pt" o:hralign="center" o:hrstd="t" o:hr="t"/>
        </w:pict>
      </w:r>
    </w:p>
    <w:p>
      <w:pPr>
        <w:pStyle w:val="FirstParagraph"/>
      </w:pPr>
      <w:r>
        <w:rPr>
          <w:bCs/>
          <w:b/>
        </w:rPr>
        <w:t xml:space="preserve">~8 páginas contenido + título + referencias = 10 páginas totales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2026-01-07T16:49:59Z</dcterms:created>
  <dcterms:modified xsi:type="dcterms:W3CDTF">2026-01-07T16:49:59Z</dcterms:modified>
</cp:coreProperties>
</file>

<file path=docProps/custom.xml><?xml version="1.0" encoding="utf-8"?>
<Properties xmlns="http://schemas.openxmlformats.org/officeDocument/2006/custom-properties" xmlns:vt="http://schemas.openxmlformats.org/officeDocument/2006/docPropsVTypes"/>
</file>