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INTRODUCCIÓN</w:t>
      </w:r>
    </w:p>
    <w:p>
      <w:r>
        <w:t>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
        <w:t>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
        <w:t>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
        <w:t>Dos interpretaciones independientes, pero históricamente entrelazados, han sostenido esta confusión.</w:t>
      </w:r>
    </w:p>
    <w:p>
      <w:r>
        <w:t>La primera es una interpretación emocional y cognitiva. Cuando una experiencia ocurre, no queda almacenada en una sola neurona: se inscribe como un patrón de rutas y pesos sinápticos en redes que se refuerzan con el uso. Es una memoria por caminos, como una huella en la nieve que se vuelve más profunda cuanto más se transita; no un archivo aislado, sino una ruta preferente. Al recordar, la mente no accede a un registro neutro del pasado, sino que reactiva esos mismos circuitos. El resultado no es el evento original, pero sí una percepción de intensidad similar a la que creó ese patrón.</w:t>
      </w:r>
    </w:p>
    <w:p>
      <w:r>
        <w:t>Toda recuperación de memoria ocurre en el presente. No hay un acceso al pasado como lugar: hay una reactivación actual de un patrón. Lo recordado siempre aparece como un fenómeno presente, aunque su contenido haga referencia a un episodio anterior.</w:t>
      </w:r>
    </w:p>
    <w:p>
      <w:r>
        <w:t>Este modo de funcionamiento no es reciente: acompaña la historia biológica desde la aparición de los primeros sistemas con memoria. Desde la primera célula que registró una diferencia útil en su entorno, la vida ha evolucionado mediante la acumulación y refuerzo de patrones. En ese sentido, el tiempo vivido es una construcción histórica de la memoria biológica en continuo desarrollo.</w:t>
      </w:r>
    </w:p>
    <w:p>
      <w:r>
        <w:t>Aquí aparece el primer riesgo: sin entrenamiento, es fácil confundir un recuerdo con la experiencia que lo originó. El recuerdo no es real en el sentido físico del evento; la experiencia que lo creó sí lo fue. Esta distinción es sutil y suele perderse, pero es clave para comprender por qué el tiempo parece existir como entidad externa.</w:t>
      </w:r>
    </w:p>
    <w:p>
      <w:r>
        <w:t>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
        <w:t>Esta interpretación física está inevitablemente influida por la percepción formada en la memoria y la imaginación. La cultura reutiliza experiencias acumuladas durante millones de años de evolución para construir teorías sobre el tiempo; ahí se conecta la emoción con la relatividad general, no por mística sino por herencia cognitiva.</w:t>
      </w:r>
    </w:p>
    <w:p>
      <w:r>
        <w:t>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
        <w:t>Desde este marco, conceptos como “viaje en el tiempo”, “curvatura del espacio-tiempo” o incluso “paso del tiempo” adquieren un nuevo estatus: no como realidades físicas profundas, sino como metáforas útiles que se vuelven problemáticas cuando se toman literalmente.</w:t>
      </w:r>
    </w:p>
    <w:p>
      <w:r>
        <w:t>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