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LA COMPONENTE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crítico —y el error— aparece aquí:</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Este mecanismo no es siempre aprendido en vida. Existen memorias heredadas. Conductas instintivas —como aves recién nacidas que se esconden ante la silueta de un depredador— evidencian que ciertos patrones de respuesta no fueron aprendidos individualmente, sino transmitidos a través de generaciones. Se trata de memoria biológica, sin referencia temporal consciente, pero plenamente operativa.</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de prioridades. En la parte alta del “helicoide” quedan los estímulos críticos (supervivencia, amenaza, urgencia); más abajo quedan los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Así, la percepción temporal depende de la arquitectura del barrido y de su activación: más niveles prioritarios, más ciclos, más duración subjetiva. No es una línea externa, es un circuito interno.</w:t>
      </w:r>
    </w:p>
    <w:p>
      <w:r>
        <w:t>Confundir ambos produce errores: se cree que el tiempo es una propiedad del mundo, cuando en realidad es un efecto del sistema activado. La arquitectura explica por qué el tiempo puede aparecer; la activación explica cuándo aparece y con qué intensidad.</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