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
        <w:t>Esto vale tanto para experiencias placenteras como dolorosas: el contenido puede variar, pero el mecanismo es el mismo. La emoción evocada es real en el presente, aunque su origen sea un recuerdo.</w:t>
      </w:r>
    </w:p>
    <w:p>
      <w:r>
        <w:t>Este diagnóstico no es nuevo. Uno de los registros culturales más antiguos y persistentes aparece en tradiciones orientales —como el budismo y corrientes afines— que identifican el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vivencia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vivencia no es real porque no está sucediendo ahora. Desde el marco de este trabajo, esa afirmación puede leerse de otra forma equivalente: el vivencia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interpretación dominante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interpretación dominante teórico refuerza el interpretación dominante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interpretaciones dominantes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Cuando quieras, seguimos con el siguiente bloque o ajustamos el tono (más paper, más ensayo, más manifiesto).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