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Masú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w:t>
      </w:r>
    </w:p>
    <w:p>
      <w:r>
        <w:t>Así, el espacio no se vive como coordenada neutra, sino como cercanía, amenaza, refugio o atracción. El vínculo real no es espacio‑tiempo, sino espacio–emoción y emoción‑tiempo: ahí se fija la experiencia y aparece la flecha narrativa.</w:t>
      </w:r>
    </w:p>
    <w:p>
      <w:r>
        <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Masú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