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
        <w:t>INTRODUCCIÓN</w:t>
      </w:r>
    </w:p>
    <w:p w:rsidR="00000000" w:rsidDel="00000000" w:rsidP="00000000" w:rsidRDefault="00000000" w:rsidRPr="00000000" ns1:paraId="00000021">
      <w:pPr>
        <w:rPr/>
      </w:pPr>
      <w:r w:rsidDel="00000000" w:rsidR="00000000" w:rsidRPr="00000000">
        <w:rPr>
          <w:rtl w:val="0"/>
        </w:rPr>
        <w:t xml:space="preserve">El tiempo es una de las ideas más familiares y, al mismo tiempo, más confusas de nuestra cultura. Se lo invoca para explicar el cambio, el envejecimiento, la causalidad, la historia, el sufrimiento humano e incluso el origen del universo. Sin embargo, cuanto más se lo examina, menos claro resulta qué es exactamente aquello a lo que llamamos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En la vida cotidiana, el tiempo parece fluir. En el lenguaje, se fragmenta en pasados, presentes y futuros. En la física, se introduce como una variable fundamental. En la psicología, aparece ligado a la memoria y la anticipación. Y en la experiencia humana profunda —amor, dolor, contemplación— el tiempo parece acelerarse, ralentizarse o desaparecer por completo.</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Esta multiplicidad de usos ha generado una superposición peligrosa: se ha asumido que todas estas formas de hablar del tiempo se refieren a una misma entidad real. Este trabajo parte de la hipótesis contraria: el tiempo no es una cosa única, y en muchos contextos no es una cosa en absoluto.</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rPr/>
      </w:pPr>
      <w:r w:rsidDel="00000000" w:rsidR="00000000" w:rsidRPr="00000000">
        <w:rPr>
          <w:rtl w:val="0"/>
        </w:rPr>
        <w:t xml:space="preserve">Dos interpretaciones independientes, pero históricamente entrelazadas, han sostenido esta confusión.</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rPr/>
      </w:pPr>
      <w:r w:rsidDel="00000000" w:rsidR="00000000" w:rsidRPr="00000000">
        <w:rPr>
          <w:rtl w:val="0"/>
        </w:rPr>
        <w:t xml:space="preserve">La primera es una interpretación emocional y cognitiva. La mente humana, al recordar, no accede a un archivo neutro del pasado, sino que reactiva los mismos circuitos que participaron en la experiencia original. Como resultado, eventos que ya no existen se viven como si estuvieran ocurriendo ahora. Esta reactivación genera sufrimiento, ansiedad y una fuerte sensación de duración. Desde hace milenios, diversas tradiciones contemplativas han señalado este mecanismo y han propuesto que el sufrimiento no es real porque no ocurre en el presente, sino en la memoria o en la proyección.</w:t>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rPr/>
      </w:pPr>
      <w:r w:rsidDel="00000000" w:rsidR="00000000" w:rsidRPr="00000000">
        <w:rPr>
          <w:rtl w:val="0"/>
        </w:rPr>
        <w:t xml:space="preserve">La segunda es una interpretación en la física. A partir de observaciones correctas sobre la desincronización entre relojes bajo distintas condiciones de gravedad o velocidad, se ha postulado que el tiempo mismo se dilata o se curva. Esta interpretación ha sido extraordinariamente influyente, pero no es la única posible. En este trabajo se explora una alternativa en la que los fenómenos observados se explican sin atribuir existencia física al tiempo, interpretándolos como variaciones en la velocidad de los procesos debidas a restricciones dinámicas del medio.</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El objetivo de este texto no es negar los datos empíricos ni las teorías que los describen con éxito, sino reexaminar qué estamos realmente midiendo y qué estamos asumiendo de más. Se propone que el tiempo no actúa como causa de los procesos, sino como una herramienta comparativa creada por la mente y formalizada por el lenguaje y la matemática.</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rPr/>
      </w:pPr>
      <w:r w:rsidDel="00000000" w:rsidR="00000000" w:rsidRPr="00000000">
        <w:rPr>
          <w:rtl w:val="0"/>
        </w:rPr>
        <w:t xml:space="preserve">Desde este marco, conceptos como “viaje en el tiempo”, “curvatura del espacio-tiempo” o incluso “paso del tiempo” adquieren un nuevo estatus: no como realidades físicas profundas, sino como metáforas útiles que se vuelven problemáticas cuando se toman literalmente.</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El recorrido que sigue este trabajo avanza desde la experiencia mental y emocional, pasa por el análisis físico y lingüístico, y culmina en un conjunto de predicciones falsables. El hilo conductor es simple: cuando se eliminan las confusiones, el tiempo deja de ser un misterio y ocupa su lugar correcto como cálculo, no como entidad.</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t xml:space="preserve">Con esto tienes:</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rPr/>
      </w:pPr>
      <w:r w:rsidDel="00000000" w:rsidR="00000000" w:rsidRPr="00000000">
        <w:rPr>
          <w:rtl w:val="0"/>
        </w:rPr>
        <w:t xml:space="preserve">Abstract: qué demuestras</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Introducción: por qué hay un problema y por qué leer</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Cuando quieras, seguimos con:</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t xml:space="preserve">pulir tono (más académico o más ensayístico),</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t xml:space="preserve">o ajustar longitud,</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rPr/>
      </w:pPr>
      <w:r w:rsidDel="00000000" w:rsidR="00000000" w:rsidRPr="00000000">
        <w:rPr>
          <w:rtl w:val="0"/>
        </w:rPr>
        <w:t xml:space="preserve">o pasar directo a la conclusión final para cerrar el círculo.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