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INTRODUCCIÓN</w:t>
      </w:r>
    </w:p>
    <w:p w:rsidR="00000000" w:rsidDel="00000000" w:rsidP="00000000" w:rsidRDefault="00000000" w:rsidRPr="00000000" ns1:paraId="00000021">
      <w:pPr>
        <w:rPr/>
      </w:pPr>
      <w:r w:rsidDel="00000000" w:rsidR="00000000" w:rsidRPr="00000000">
        <w:rPr>
          <w:rtl w:val="0"/>
        </w:rPr>
        <w:t xml:space="preserve">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Dos interpretaciones independientes, pero históricamente entrelazadas, han sostenido esta confusión.</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La primera es una interpretación emocional y cognitiva. Cuando una experiencia ocurre, no queda almacenada en una sola neurona: se inscribe como un patrón de rutas y pesos sinápticos en redes que se refuerzan con el uso. Es una memoria por caminos, como una huella en la nieve que se vuelve más profunda cuanto más se transita; no un archivo aislado, sino una ruta preferente. Al recordar, la mente no accede a un registro neutro del pasado, sino que reactiva esos mismos circuitos. El resultado no es el evento original, pero sí una percepción de intensidad similar a la que creó ese patrón. Desde hace milenios, diversas tradiciones contemplativas han señalado este mecanismo y han propuesto que la vivencia no es real porque no ocurre en el presente, sino en la memoria o en la proyección.</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rPr/>
      </w:pPr>
      <w:r w:rsidDel="00000000" w:rsidR="00000000" w:rsidRPr="00000000">
        <w:rPr>
          <w:rtl w:val="0"/>
        </w:rPr>
        <w:t xml:space="preserve">La segunda es una interpretación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Desde este marco, conceptos como “viaje en el tiempo”, “curvatura del espacio-tiempo” o incluso “paso del tiempo” adquieren un nuevo estatus: no como realidades físicas profundas, sino como metáforas útiles que se vuelven problemáticas cuando se toman literalmente.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t xml:space="preserve">Con esto tienes:</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Abstract: qué demuestras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Introducción: por qué hay un problema y por qué leer</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Cuando quieras, seguimos con:</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pulir tono (más académico o más ensayístico),</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o ajustar longitud,</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o pasar directo a la conclusión final para cerrar el círculo.</w:t>
      </w:r>
    </w:p>
    <w:p>
      <w:r>
        <w:t>Aquí aparece el primer riesgo: sin entrenamiento, es fácil confundir un recuerdo con la experiencia que lo originó. El recuerdo no es real en el sentido físico del evento; la experiencia que lo creó sí lo fue. Esta distinción es sutil y suele perderse, pero es clave para comprender por qué el tiempo parece existir como entidad externa.</w:t>
      </w:r>
    </w:p>
    <w:p>
      <w:r>
        <w:t>Este modo de funcionamiento no es reciente: acompaña la historia biológica desde la aparición de los primeros sistemas con memoria. Desde la primera célula que registró una diferencia útil en su entorno, la vida ha evolucionado mediante la acumulación y refuerzo de patrones. En ese sentido, el tiempo vivido es una construcción histórica de la memoria biológica en continuo desarrollo.</w:t>
      </w:r>
    </w:p>
    <w:p>
      <w:r>
        <w:t>Toda recuperación de memoria ocurre en el presente. No hay un acceso al pasado como lugar: hay una reactivación actual de un patrón. Lo recordado siempre aparece como un fenómeno presente, aunque su contenido haga referencia a un episodio anterior.</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