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t xml:space="preserve">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t xml:space="preserve">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t xml:space="preserve">En este contexto, la inercia se interpreta como una manifestación observable de dicha estructura subyacente, en línea con las consideraciones introducidas por Einstein en su conferencia de 1920 sobre la naturaleza no vacía del espacio [11]. Esta manifestación se presenta como una resistencia al inicio del movimiento de la materia desde el reposo, así como una resistencia a su detención cuando ya se encuentra en movimiento. Dicha resistencia —percibida como presión— es indistinguible, desde el punto de vista del sistema físico, de la presión gravitatoria experimentada en entornos de alta densidad, como la superficie de una estrella de neutrones o en las cercanías de un agujero negro. En el límite de velocidad constante, esta presión adopta una forma estable y coherente, análoga a un solitón gravitacional, lo cual ofrece una nueva vía interpretativa sobre los mecanismos físicos que podrían subyacer al fenómeno de la inercia.</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A partir de una serie de experimentos conceptuales comparativos, se muestra que la experiencia del tiempo depende siempre de referencias almacenadas (internas o externas), registros y observadores, y que en ausencia de estos no puede calcularse un tiempo. En consecuencia, los viajes en el tiempo y sus paradojas se disuelven al reconocer el carácter imaginario del tiempo, mientras que las paradojas imaginarias permanecen como construcciones mentales sin estatus físico.</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r>
    </w:p>
    <w:p>
      <w:r>
        <w:t xml:space="preserve">CAPÍTULO 5</w:t>
      </w:r>
    </w:p>
    <w:p>
      <w:r>
        <w:t xml:space="preserve">RESUMEN DE EXPERIMENTOS MENTALES</w:t>
      </w:r>
    </w:p>
    <w:p/>
    <w:p>
      <w:r>
        <w:t xml:space="preserve">Este capítulo resume los experimentos mentales del manuscrito y clarifica sus objetivos y consecuencias conceptuales. Se presentan como dispositivos de comparación de procesos, no como nuevas leyes físicas.</w:t>
      </w:r>
    </w:p>
    <w:p/>
    <w:p>
      <w:r>
        <w:t xml:space="preserve">Experimento 1: Comparación de procesos físicos en cuatro sujetos caninos idénticos</w:t>
      </w:r>
    </w:p>
    <w:p>
      <w:r>
        <w:t xml:space="preserve">Cuatro sujetos caninos (Bruno y tres hermanos) son expuestos a escenarios físicos distintos durante el mismo intervalo de referencia terrestre. El foco no está en “viajar en el tiempo”, sino en observar cómo cambian los procesos internos cuando cambian las condiciones físicas de referencia.</w:t>
      </w:r>
    </w:p>
    <w:p/>
    <w:p>
      <w:r>
        <w:t xml:space="preserve">Experimento 2: Sincronización de procesos mediante ajuste previo en cuatro sujetos caninos</w:t>
      </w:r>
    </w:p>
    <w:p>
      <w:r>
        <w:t xml:space="preserve">Se calibra previamente cada escenario para que, pese a condiciones distintas, los registros internos resulten comparables. Este diseño refuerza la idea de que el tiempo emerge de la comparación de procesos y registros, no de una entidad autónoma.</w:t>
      </w:r>
    </w:p>
    <w:p/>
    <w:p>
      <w:r>
        <w:t xml:space="preserve">Nota de equivalencia: en el marco del manuscrito, la proximidad a grandes masas, la velocidad relativista y la criogenia se interpretan como condiciones que ralentizan procesos internos. La equivalencia no es operacional, sino conceptual: todas afectan la tasa de evolución del sistema observado.</w:t>
      </w:r>
    </w:p>
    <w:p/>
    <w:p>
      <w:r>
        <w:t xml:space="preserve">Experimento 3: Paradoja de los gemelos como comparación de procesos</w:t>
      </w:r>
    </w:p>
    <w:p>
      <w:r>
        <w:t xml:space="preserve">Dos gemelos con historias físicas distintas muestran que “envejecer menos” no implica viajar al futuro, sino experimentar menos procesos internos bajo condiciones extremas.</w:t>
      </w:r>
    </w:p>
    <w:p/>
    <w:p>
      <w:r>
        <w:t xml:space="preserve">Experimento 4: Influencia de la densidad de masa en la tasa temporal</w:t>
      </w:r>
    </w:p>
    <w:p>
      <w:r>
        <w:t xml:space="preserve">Se propone que la densidad de masa afecta de manera diferencial los relojes internos, no de forma homogénea para todos los sistemas. La diferencia no se atribuye solo a la trayectoria o a la velocidad, sino a la configuración material del observador.</w:t>
      </w:r>
    </w:p>
    <w:p/>
    <w:p>
      <w:r>
        <w:t xml:space="preserve">Estos cuatro experimentos consolidan la tesis central: el tiempo es una lectura comparativa de procesos y registros, y su aparente “flujo” depende de las condiciones físicas y de la estructura del sistema que registra.</w:t>
      </w:r>
    </w:p>
    <w:p>
      <w:r>
        <w:t xml:space="preserve">El Cable MazzE —entendido como el vínculo entre Masa, Energía y Emociones— funciona como una síntesis conceptual de esta tesis: la experiencia temporal no se sostiene en una sustancia física autónoma, sino en la interacción entre la estructura material del sistema, la energía que lo atraviesa y el registro emocional que organiza su lectura del cambio.</w:t>
      </w:r>
    </w:p>
    <w:sectPr>
      <w:pgSz w:h="16834" w:w="11909" w:orient="portrait"/>
      <w:pgMar w:bottom="1440" w:top="1440" w:left="1440" w:right="1440" w:header="720" w:footer="720"/>
      <w:pgNumType w:start="1"/>
    </w:sectPr>
    <w:p>
      <w:r>
        <w:t>CONCLUSIÓN</w:t>
      </w:r>
    </w:p>
    <w:p w:rsidR="00000000" w:rsidDel="00000000" w:rsidP="00000000" w:rsidRDefault="00000000" w:rsidRPr="00000000" ns1:paraId="00000010">
      <w:pPr>
        <w:rPr/>
      </w:pPr>
      <w:r w:rsidDel="00000000" w:rsidR="00000000" w:rsidRPr="00000000">
        <w:rPr>
          <w:rtl w:val="0"/>
        </w:rP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tiempo, en última instancia, no es una propiedad del universo, sino una entidad imaginaria, dependiente de la mente que la construye y la habita. En este sentido, el tiempo puede representarse como: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T(i)</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donde i denota su carácter imaginario, relacional y mental.</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La pregunta final permanece abierta:</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¿Cuál es la edad del observador extraterrestre?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Su imposibilidad de respuesta no es una carencia del experimento, sino la evidencia final de que, sin mente, sin memoria y sin interpretación, el tiempo no existe.</w:t>
      </w:r>
    </w:p>
    <w:p>
      <w:r>
        <w:t/>
      </w:r>
    </w:p>
    <w:p>
      <w:r>
        <w:t>Si el trabajo anterior reubica el tiempo como construcción cognitiva y relacional, entonces el vínculo físico que solemos llamar “espacio‑tiempo” puede reinterpretarse en su raíz experiencial como espacio–emoción.</w:t>
      </w:r>
    </w:p>
    <w:p>
      <w:r>
        <w:t>El espacio no se nos presenta como una coordenada neutra, sino como una carga afectiva distribuida: cercanía, amenaza, refugio, gravedad, impulso.</w:t>
      </w:r>
    </w:p>
    <w:p>
      <w:r>
        <w:t>La emoción no es un añadido psicológico, sino el modo en que el sistema vivo lee la estructura del entorno y la traduce en orientación, urgencia y sentido.</w:t>
      </w:r>
    </w:p>
    <w:p>
      <w:r>
        <w:t>En este marco, el tiempo no funda el vínculo: lo organiza narrativamente después de la experiencia.</w:t>
      </w:r>
    </w:p>
    <w:p>
      <w:r>
        <w:t>Por eso, el verdadero “conector” no es espacio‑tiempo, sino espacio–emoción: el punto donde la física se vuelve vivencia y la vivencia se vuelve lectura del mundo.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