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3BF1" w14:textId="490908E6" w:rsidR="00021267" w:rsidRPr="00476938" w:rsidRDefault="00F640A6" w:rsidP="00721D90">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27D01D05"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2CD3C1B5"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which can dire</w:t>
      </w:r>
      <w:r w:rsidR="00BB6BDA" w:rsidRPr="00476938">
        <w:rPr>
          <w:sz w:val="24"/>
          <w:szCs w:val="24"/>
        </w:rPr>
        <w:t>ctly identify the spatial location of the survey taker</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77777777"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48455F85" w:rsidR="003F26AB" w:rsidRPr="00476938"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xml:space="preserve">. The EDDM service by the USPS is available in the entire United States. It requires very little upfront capital (to print the mailers). The labor to implement is small (just dropping off the mailers to the USPS). </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t>Using EDDM to gather a Non-Probability Sample</w:t>
      </w:r>
    </w:p>
    <w:p w14:paraId="5F78193D" w14:textId="55887554" w:rsidR="00903D17" w:rsidRDefault="0082433B" w:rsidP="00721D90">
      <w:pPr>
        <w:spacing w:after="0" w:line="480" w:lineRule="auto"/>
        <w:ind w:firstLine="720"/>
        <w:rPr>
          <w:sz w:val="24"/>
          <w:szCs w:val="24"/>
        </w:rPr>
      </w:pPr>
      <w:r w:rsidRPr="00476938">
        <w:rPr>
          <w:sz w:val="24"/>
          <w:szCs w:val="24"/>
        </w:rPr>
        <w:lastRenderedPageBreak/>
        <w:t xml:space="preserve">EDDM is a method to </w:t>
      </w:r>
      <w:r w:rsidR="00A77510">
        <w:rPr>
          <w:sz w:val="24"/>
          <w:szCs w:val="24"/>
        </w:rPr>
        <w:t xml:space="preserve">send mailers, such as postcards or letters, to every individual in a single mailing route (Grubert, 2019).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p>
    <w:p w14:paraId="501F5D4E" w14:textId="131C99B0" w:rsidR="0082433B" w:rsidRDefault="00A77510" w:rsidP="00721D90">
      <w:pPr>
        <w:spacing w:after="0" w:line="480" w:lineRule="auto"/>
        <w:ind w:firstLine="720"/>
        <w:rPr>
          <w:sz w:val="24"/>
          <w:szCs w:val="24"/>
        </w:rPr>
      </w:pPr>
      <w:r>
        <w:rPr>
          <w:sz w:val="24"/>
          <w:szCs w:val="24"/>
        </w:rPr>
        <w:t xml:space="preserve">Mailing routes are smaller than zip-codes, typically fewer than 1000 residential addresses per </w:t>
      </w:r>
      <w:r w:rsidR="003B7925">
        <w:rPr>
          <w:sz w:val="24"/>
          <w:szCs w:val="24"/>
        </w:rPr>
        <w:t>route.</w:t>
      </w:r>
      <w:r>
        <w:rPr>
          <w:sz w:val="24"/>
          <w:szCs w:val="24"/>
        </w:rPr>
        <w:t xml:space="preserve"> </w:t>
      </w:r>
      <w:r w:rsidR="00707127">
        <w:rPr>
          <w:sz w:val="24"/>
          <w:szCs w:val="24"/>
        </w:rPr>
        <w:t>Thus they are much smaller than zipcodes</w:t>
      </w:r>
      <w:r w:rsidR="009C2200">
        <w:rPr>
          <w:sz w:val="24"/>
          <w:szCs w:val="24"/>
        </w:rPr>
        <w:t>,</w:t>
      </w:r>
      <w:r>
        <w:rPr>
          <w:sz w:val="24"/>
          <w:szCs w:val="24"/>
        </w:rPr>
        <w:t xml:space="preserve"> but </w:t>
      </w:r>
      <w:r w:rsidR="00D535E2">
        <w:rPr>
          <w:sz w:val="24"/>
          <w:szCs w:val="24"/>
        </w:rPr>
        <w:t xml:space="preserve">typically encompass multiple </w:t>
      </w:r>
      <w:r>
        <w:rPr>
          <w:sz w:val="24"/>
          <w:szCs w:val="24"/>
        </w:rPr>
        <w:t>street segments.</w:t>
      </w:r>
      <w:r w:rsidR="00A64313">
        <w:rPr>
          <w:sz w:val="24"/>
          <w:szCs w:val="24"/>
        </w:rPr>
        <w:t xml:space="preserve"> We note that if one wants a smaller geographic level than the postal route</w:t>
      </w:r>
      <w:r w:rsidR="00A418D5">
        <w:rPr>
          <w:sz w:val="24"/>
          <w:szCs w:val="24"/>
        </w:rPr>
        <w:t xml:space="preserve"> </w:t>
      </w:r>
      <w:r w:rsidR="00903D17">
        <w:rPr>
          <w:sz w:val="24"/>
          <w:szCs w:val="24"/>
        </w:rPr>
        <w:t>using EDDM</w:t>
      </w:r>
      <w:r w:rsidR="00A64313">
        <w:rPr>
          <w:sz w:val="24"/>
          <w:szCs w:val="24"/>
        </w:rPr>
        <w:t>, one may include a survey question asking the respondent the street segment they live on or the nearest intersection. Wheeler et al. (2020) find for paper based surveys, this question results in very little non-response.</w:t>
      </w:r>
      <w:r w:rsidR="00406213">
        <w:rPr>
          <w:sz w:val="24"/>
          <w:szCs w:val="24"/>
        </w:rPr>
        <w:t xml:space="preserve"> If not, one may simply link to a different survey endpoint in each post-card mailer, so one can determine the particular postal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3FB6972A" w:rsidR="0082433B" w:rsidRPr="00476938" w:rsidRDefault="008C2F33" w:rsidP="00721D90">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find that for a random digit dialing survey in which they additionally asked respondents to list their nearest intersection, over 25% refused to answer the question, and an additional 13% provided either ungeocodeable </w:t>
      </w:r>
      <w:r w:rsidR="0039729F" w:rsidRPr="00476938">
        <w:rPr>
          <w:sz w:val="24"/>
          <w:szCs w:val="24"/>
        </w:rPr>
        <w:t xml:space="preserve">or addresses not in </w:t>
      </w:r>
      <w:r w:rsidR="0039729F" w:rsidRPr="00476938">
        <w:rPr>
          <w:sz w:val="24"/>
          <w:szCs w:val="24"/>
        </w:rPr>
        <w:lastRenderedPageBreak/>
        <w:t>the city of interest.</w:t>
      </w:r>
      <w:r w:rsidR="002E22EE" w:rsidRPr="00476938">
        <w:rPr>
          <w:sz w:val="24"/>
          <w:szCs w:val="24"/>
        </w:rPr>
        <w:t xml:space="preserve"> While some firms offer polling at the zipcode level, given the mobility of individuals it is very difficult to tie cell phone numbers to particular geographic locations. </w:t>
      </w:r>
      <w:r w:rsidR="00B975AF">
        <w:rPr>
          <w:sz w:val="24"/>
          <w:szCs w:val="24"/>
        </w:rPr>
        <w:t xml:space="preserve">(We believe web-based </w:t>
      </w:r>
      <w:r w:rsidR="00481D1A">
        <w:rPr>
          <w:sz w:val="24"/>
          <w:szCs w:val="24"/>
        </w:rPr>
        <w:t xml:space="preserve">advertisement </w:t>
      </w:r>
      <w:r w:rsidR="00B975AF">
        <w:rPr>
          <w:sz w:val="24"/>
          <w:szCs w:val="24"/>
        </w:rPr>
        <w:t>targeting is likely to suffer 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p>
    <w:p w14:paraId="69FCA87E" w14:textId="5159609C" w:rsidR="00526D72" w:rsidRPr="00476938" w:rsidRDefault="00DD1FCC" w:rsidP="00721D90">
      <w:pPr>
        <w:spacing w:after="0" w:line="480" w:lineRule="auto"/>
        <w:ind w:firstLine="720"/>
        <w:rPr>
          <w:sz w:val="24"/>
          <w:szCs w:val="24"/>
        </w:rPr>
      </w:pPr>
      <w:r>
        <w:rPr>
          <w:sz w:val="24"/>
          <w:szCs w:val="24"/>
        </w:rPr>
        <w:t xml:space="preserve">In addition to the </w:t>
      </w:r>
      <w:r w:rsidR="0055068E">
        <w:rPr>
          <w:sz w:val="24"/>
          <w:szCs w:val="24"/>
        </w:rPr>
        <w:t xml:space="preserve">geographic accuracy </w:t>
      </w:r>
      <w:r>
        <w:rPr>
          <w:sz w:val="24"/>
          <w:szCs w:val="24"/>
        </w:rPr>
        <w:t>problems with targeting individuals at the zipcode level</w:t>
      </w:r>
      <w:r w:rsidR="00274711">
        <w:rPr>
          <w:sz w:val="24"/>
          <w:szCs w:val="24"/>
        </w:rPr>
        <w:t xml:space="preserve"> based on their phone records</w:t>
      </w:r>
      <w:r>
        <w:rPr>
          <w:sz w:val="24"/>
          <w:szCs w:val="24"/>
        </w:rPr>
        <w:t>, a</w:t>
      </w:r>
      <w:r w:rsidR="00526D72" w:rsidRPr="00476938">
        <w:rPr>
          <w:sz w:val="24"/>
          <w:szCs w:val="24"/>
        </w:rPr>
        <w:t xml:space="preserve">n important cost in estimating surveys that rely on human labor are costs per individual </w:t>
      </w:r>
      <w:r w:rsidR="00665277">
        <w:rPr>
          <w:sz w:val="24"/>
          <w:szCs w:val="24"/>
        </w:rPr>
        <w:t>conducting</w:t>
      </w:r>
      <w:r w:rsidR="00526D72" w:rsidRPr="00476938">
        <w:rPr>
          <w:sz w:val="24"/>
          <w:szCs w:val="24"/>
        </w:rPr>
        <w:t xml:space="preserve">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(Guterbock et al., 2018). </w:t>
      </w:r>
      <w:r w:rsidR="00C32DCE" w:rsidRPr="00476938">
        <w:rPr>
          <w:sz w:val="24"/>
          <w:szCs w:val="24"/>
        </w:rPr>
        <w:t>Thus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5748449D" w:rsidR="00864C10" w:rsidRDefault="004E17D4" w:rsidP="00721D90">
      <w:pPr>
        <w:spacing w:after="0"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d and accurate 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 xml:space="preserve">funding </w:t>
      </w:r>
      <w:r w:rsidR="00864C10">
        <w:rPr>
          <w:sz w:val="24"/>
          <w:szCs w:val="24"/>
        </w:rPr>
        <w:lastRenderedPageBreak/>
        <w:t>from outside resources)</w:t>
      </w:r>
      <w:r w:rsidR="00A6185C">
        <w:rPr>
          <w:sz w:val="24"/>
          <w:szCs w:val="24"/>
        </w:rPr>
        <w:t xml:space="preserve">. It would require hiring multiple persistent positions to conduct the surveys, </w:t>
      </w:r>
      <w:r w:rsidR="00D72A66">
        <w:rPr>
          <w:sz w:val="24"/>
          <w:szCs w:val="24"/>
        </w:rPr>
        <w:t xml:space="preserve">and </w:t>
      </w:r>
      <w:r w:rsidR="00A6185C">
        <w:rPr>
          <w:sz w:val="24"/>
          <w:szCs w:val="24"/>
        </w:rPr>
        <w:t xml:space="preserve">given salary and fringe for such </w:t>
      </w:r>
      <w:r w:rsidR="00DC7749">
        <w:rPr>
          <w:sz w:val="24"/>
          <w:szCs w:val="24"/>
        </w:rPr>
        <w:t xml:space="preserve">full time </w:t>
      </w:r>
      <w:r w:rsidR="00A6185C">
        <w:rPr>
          <w:sz w:val="24"/>
          <w:szCs w:val="24"/>
        </w:rPr>
        <w:t xml:space="preserve">positions, </w:t>
      </w:r>
      <w:r w:rsidR="008D461B">
        <w:rPr>
          <w:sz w:val="24"/>
          <w:szCs w:val="24"/>
        </w:rPr>
        <w:t>it will</w:t>
      </w:r>
      <w:r w:rsidR="00A6185C">
        <w:rPr>
          <w:sz w:val="24"/>
          <w:szCs w:val="24"/>
        </w:rPr>
        <w:t xml:space="preserve"> ultimately be very costly 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5FF01DD6" w:rsidR="00D92F62" w:rsidRDefault="00864C10" w:rsidP="00721D90">
      <w:pPr>
        <w:spacing w:after="0" w:line="480" w:lineRule="auto"/>
        <w:ind w:firstLine="720"/>
        <w:rPr>
          <w:sz w:val="24"/>
          <w:szCs w:val="24"/>
        </w:rPr>
      </w:pPr>
      <w:r>
        <w:rPr>
          <w:sz w:val="24"/>
          <w:szCs w:val="24"/>
        </w:rPr>
        <w:t xml:space="preserve">In comparison, we are familiar with cities enlisting outside firms to conduct semi-regular </w:t>
      </w:r>
      <w:r w:rsidR="00274711">
        <w:rPr>
          <w:sz w:val="24"/>
          <w:szCs w:val="24"/>
        </w:rPr>
        <w:t xml:space="preserve">web-based </w:t>
      </w:r>
      <w:r w:rsidR="00536A04">
        <w:rPr>
          <w:sz w:val="24"/>
          <w:szCs w:val="24"/>
        </w:rPr>
        <w:t>surveys</w:t>
      </w:r>
      <w:r>
        <w:rPr>
          <w:sz w:val="24"/>
          <w:szCs w:val="24"/>
        </w:rPr>
        <w:t xml:space="preserve">. For a single example, the city of Raleigh, North Carolina pays a firm </w:t>
      </w:r>
      <w:r w:rsidR="00536A04">
        <w:rPr>
          <w:sz w:val="24"/>
          <w:szCs w:val="24"/>
        </w:rPr>
        <w:t xml:space="preserve">approximately $60,000 every other year to conduct a 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 xml:space="preserve">&gt;, page 122 for example). </w:t>
      </w:r>
      <w:r w:rsidR="004E579D">
        <w:rPr>
          <w:sz w:val="24"/>
          <w:szCs w:val="24"/>
        </w:rPr>
        <w:t>Chicago contracts with a web-based analytics firm 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3A920ADD" w:rsidR="004E17D4" w:rsidRDefault="00D92F62" w:rsidP="00721D90">
      <w:pPr>
        <w:spacing w:after="0" w:line="480" w:lineRule="auto"/>
        <w:ind w:firstLine="720"/>
        <w:rPr>
          <w:sz w:val="24"/>
          <w:szCs w:val="24"/>
        </w:rPr>
      </w:pPr>
      <w:r>
        <w:rPr>
          <w:sz w:val="24"/>
          <w:szCs w:val="24"/>
        </w:rPr>
        <w:t xml:space="preserve">Our budget estimates (see the Appendix) $7.25 per completed survey using the EDDM approach. Thus with a budget of under $10,000 per year, a city can generate over 1000 survey responses. </w:t>
      </w:r>
      <w:r w:rsidR="003C5771">
        <w:rPr>
          <w:sz w:val="24"/>
          <w:szCs w:val="24"/>
        </w:rPr>
        <w:t>Just as importantly, EDDM provides the ability for an agency to conduct surveys targeted at specific micro-geographic areas. This can be useful in ex-post evaluating particular interventions at specific locations, but is also cheap enough to routinely conduct widespread general surveys of attitudes towards law enforcement</w:t>
      </w:r>
      <w:r w:rsidR="0050427A">
        <w:rPr>
          <w:sz w:val="24"/>
          <w:szCs w:val="24"/>
        </w:rPr>
        <w:t xml:space="preserve"> across a jurisdiction.</w:t>
      </w:r>
    </w:p>
    <w:p w14:paraId="6A590B94" w14:textId="702F87C6" w:rsidR="00F5612B" w:rsidRDefault="004854BB" w:rsidP="00721D90">
      <w:pPr>
        <w:spacing w:after="0" w:line="480" w:lineRule="auto"/>
        <w:ind w:firstLine="720"/>
        <w:rPr>
          <w:sz w:val="24"/>
          <w:szCs w:val="24"/>
        </w:rPr>
      </w:pPr>
      <w:r>
        <w:rPr>
          <w:sz w:val="24"/>
          <w:szCs w:val="24"/>
        </w:rPr>
        <w:t xml:space="preserve">EDDM we believe will be the </w:t>
      </w:r>
      <w:r>
        <w:rPr>
          <w:i/>
          <w:iCs/>
          <w:sz w:val="24"/>
          <w:szCs w:val="24"/>
        </w:rPr>
        <w:t>best</w:t>
      </w:r>
      <w:r>
        <w:rPr>
          <w:sz w:val="24"/>
          <w:szCs w:val="24"/>
        </w:rPr>
        <w:t xml:space="preserve"> solution to obtaining geographically targeted, micro-level area estimates </w:t>
      </w:r>
      <w:r w:rsidR="0024659E">
        <w:rPr>
          <w:sz w:val="24"/>
          <w:szCs w:val="24"/>
        </w:rPr>
        <w:t xml:space="preserve">of attitudes towards police </w:t>
      </w:r>
      <w:r>
        <w:rPr>
          <w:sz w:val="24"/>
          <w:szCs w:val="24"/>
        </w:rPr>
        <w:t xml:space="preserve">for several reasons. One is that given increases in non-response over time, one effectively needs to target 100% of the population for a small area to be able to get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w:t>
      </w:r>
      <w:r w:rsidR="0093277A">
        <w:rPr>
          <w:sz w:val="24"/>
          <w:szCs w:val="24"/>
        </w:rPr>
        <w:lastRenderedPageBreak/>
        <w:t xml:space="preserve">at a particular micro-geographic location an opportunity to respond will ultimately be less reliable and rely on more extrapolation. </w:t>
      </w:r>
      <w:r w:rsidR="00373F20">
        <w:rPr>
          <w:sz w:val="24"/>
          <w:szCs w:val="24"/>
        </w:rPr>
        <w:t>EDDM can ensure that everyone in a particular chosen area has the ability to respond.</w:t>
      </w:r>
    </w:p>
    <w:p w14:paraId="5F57F7EE" w14:textId="10CE2125" w:rsidR="00AD26CF" w:rsidRDefault="00AD26CF" w:rsidP="00721D90">
      <w:pPr>
        <w:spacing w:after="0" w:line="480" w:lineRule="auto"/>
        <w:ind w:firstLine="720"/>
        <w:rPr>
          <w:sz w:val="24"/>
          <w:szCs w:val="24"/>
        </w:rPr>
      </w:pPr>
      <w:r>
        <w:rPr>
          <w:sz w:val="24"/>
          <w:szCs w:val="24"/>
        </w:rPr>
        <w:t xml:space="preserve">The </w:t>
      </w:r>
      <w:r>
        <w:rPr>
          <w:sz w:val="24"/>
          <w:szCs w:val="24"/>
        </w:rPr>
        <w:t>second</w:t>
      </w:r>
      <w:r>
        <w:rPr>
          <w:sz w:val="24"/>
          <w:szCs w:val="24"/>
        </w:rPr>
        <w:t xml:space="preserve">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using EDDM can be explicitly geographically focused. Thus it can be used in a similar fashion to micro-level canvas approaches, when very small areas need to be targeted at specific times. But is still much cheaper than hiring individuals to canvas neighborhoods.</w:t>
      </w:r>
    </w:p>
    <w:p w14:paraId="5EF24F39" w14:textId="72DBEAA2"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to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the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31A8D73C" w:rsidR="00D6067B" w:rsidRDefault="00AD26CF" w:rsidP="00721D90">
      <w:pPr>
        <w:spacing w:after="0" w:line="480" w:lineRule="auto"/>
        <w:ind w:firstLine="720"/>
        <w:rPr>
          <w:sz w:val="24"/>
          <w:szCs w:val="24"/>
        </w:rPr>
      </w:pPr>
      <w:r>
        <w:rPr>
          <w:sz w:val="24"/>
          <w:szCs w:val="24"/>
        </w:rPr>
        <w:t xml:space="preserve">The </w:t>
      </w:r>
      <w:r w:rsidR="00C5642C">
        <w:rPr>
          <w:sz w:val="24"/>
          <w:szCs w:val="24"/>
        </w:rPr>
        <w:t>fourth</w:t>
      </w:r>
      <w:r>
        <w:rPr>
          <w:sz w:val="24"/>
          <w:szCs w:val="24"/>
        </w:rPr>
        <w:t xml:space="preserve"> benefit of</w:t>
      </w:r>
      <w:r w:rsidR="006B2EC4">
        <w:rPr>
          <w:sz w:val="24"/>
          <w:szCs w:val="24"/>
        </w:rPr>
        <w:t xml:space="preserve"> EDDM </w:t>
      </w:r>
      <w:r>
        <w:rPr>
          <w:sz w:val="24"/>
          <w:szCs w:val="24"/>
        </w:rPr>
        <w:t>we list here</w:t>
      </w:r>
      <w:r w:rsidR="00125B05">
        <w:rPr>
          <w:sz w:val="24"/>
          <w:szCs w:val="24"/>
        </w:rPr>
        <w:t xml:space="preserve"> is that EDDM </w:t>
      </w:r>
      <w:r w:rsidR="006B2EC4">
        <w:rPr>
          <w:sz w:val="24"/>
          <w:szCs w:val="24"/>
        </w:rPr>
        <w:t>with links to web-based push surveys 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r w:rsidR="006B2EC4" w:rsidRPr="00347FC7">
        <w:t>Grubert</w:t>
      </w:r>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to intrinsically introduce any particular bias. In fact, we believe it likely will provide </w:t>
      </w:r>
      <w:r w:rsidR="006B2EC4">
        <w:rPr>
          <w:sz w:val="24"/>
          <w:szCs w:val="24"/>
        </w:rPr>
        <w:lastRenderedPageBreak/>
        <w:t>greater coverage, as it can provide opportunities for individuals living in apartment</w:t>
      </w:r>
      <w:r w:rsidR="00F717A3">
        <w:rPr>
          <w:sz w:val="24"/>
          <w:szCs w:val="24"/>
        </w:rPr>
        <w:t xml:space="preserve">s (who are typically not targeted in paper based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61818F80" w14:textId="704C87D5" w:rsidR="00452BEF" w:rsidRDefault="00452BEF" w:rsidP="00721D90">
      <w:pPr>
        <w:spacing w:after="0" w:line="480" w:lineRule="auto"/>
        <w:ind w:firstLine="720"/>
        <w:rPr>
          <w:sz w:val="24"/>
          <w:szCs w:val="24"/>
        </w:rPr>
      </w:pPr>
      <w:r>
        <w:rPr>
          <w:sz w:val="24"/>
          <w:szCs w:val="24"/>
        </w:rPr>
        <w:t xml:space="preserve">While the approach we advocate does limit exposure to individuals with access to the internet (we suggest a mailer that has a convenient QR code link, as well as a printed </w:t>
      </w:r>
      <w:r w:rsidR="009D5284">
        <w:rPr>
          <w:sz w:val="24"/>
          <w:szCs w:val="24"/>
        </w:rPr>
        <w:t>web url</w:t>
      </w:r>
      <w:r>
        <w:rPr>
          <w:sz w:val="24"/>
          <w:szCs w:val="24"/>
        </w:rPr>
        <w:t xml:space="preserve">), we believe the cost-effectiveness of this approach is worth the trade off compared to lower response rates for purely paper based surveys (Dillman, 2017; Grubert, 2019). </w:t>
      </w:r>
      <w:r w:rsidR="00D6067B">
        <w:rPr>
          <w:sz w:val="24"/>
          <w:szCs w:val="24"/>
        </w:rPr>
        <w:t>It is possible to do traditional paper based surveys using the same EDDM approach, although that would require additional printing costs and return postage costs, as well as labor to digitize the survey results.</w:t>
      </w:r>
    </w:p>
    <w:p w14:paraId="1F73E3EA" w14:textId="33691619" w:rsidR="009C4C63" w:rsidRDefault="0092798E" w:rsidP="00721D90">
      <w:pPr>
        <w:spacing w:after="0" w:line="480" w:lineRule="auto"/>
        <w:ind w:firstLine="720"/>
        <w:rPr>
          <w:sz w:val="24"/>
          <w:szCs w:val="24"/>
        </w:rPr>
      </w:pPr>
      <w:r>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3039586" w14:textId="3D6DCFDB" w:rsidR="00A56E7D"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often used in public opinion </w:t>
      </w:r>
      <w:r w:rsidR="00ED2D7C">
        <w:rPr>
          <w:sz w:val="24"/>
          <w:szCs w:val="24"/>
        </w:rPr>
        <w:t xml:space="preserve">or political polling where the samples are often drawn from the state level, but inferences are desired at the county level. 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lastRenderedPageBreak/>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for strata which are not even observed in the original survey</w:t>
      </w:r>
      <w:r w:rsidR="00A56E7D" w:rsidRPr="00D6067B">
        <w:rPr>
          <w:sz w:val="24"/>
          <w:szCs w:val="24"/>
        </w:rPr>
        <w:t>, and is a common technique for estimating small area effects (</w:t>
      </w:r>
      <w:r w:rsidR="00A56E7D" w:rsidRPr="00D6067B">
        <w:rPr>
          <w:sz w:val="24"/>
          <w:szCs w:val="24"/>
        </w:rPr>
        <w:t>Buil-Gil</w:t>
      </w:r>
      <w:r w:rsidR="00A56E7D" w:rsidRPr="00D6067B">
        <w:rPr>
          <w:sz w:val="24"/>
          <w:szCs w:val="24"/>
        </w:rPr>
        <w:t xml:space="preserve"> et al., 2020).</w:t>
      </w:r>
      <w:r w:rsidR="00D11815">
        <w:rPr>
          <w:sz w:val="24"/>
          <w:szCs w:val="24"/>
        </w:rPr>
        <w:t xml:space="preserve"> </w:t>
      </w:r>
    </w:p>
    <w:p w14:paraId="4C711797" w14:textId="06D1CCCE" w:rsidR="00EC3F56" w:rsidRDefault="00EC3F56" w:rsidP="00721D90">
      <w:pPr>
        <w:spacing w:after="0" w:line="480" w:lineRule="auto"/>
        <w:rPr>
          <w:sz w:val="24"/>
          <w:szCs w:val="24"/>
        </w:rPr>
      </w:pPr>
      <w:r>
        <w:rPr>
          <w:sz w:val="24"/>
          <w:szCs w:val="24"/>
        </w:rPr>
        <w:tab/>
        <w:t xml:space="preserve">We believe this is a necessary step in any approach that wants to make inferences at small geographic areas. Ultimately small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taking into account potential small sample sizes in particular </w:t>
      </w:r>
      <w:r w:rsidR="00566F79">
        <w:rPr>
          <w:sz w:val="24"/>
          <w:szCs w:val="24"/>
        </w:rPr>
        <w:t>areas.</w:t>
      </w:r>
    </w:p>
    <w:p w14:paraId="17621B0B" w14:textId="6EF89F49"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generally are obtained from either the decennial census or one of the waves of the American Community Survey. </w:t>
      </w:r>
      <w:r w:rsidR="001A1C1E">
        <w:rPr>
          <w:sz w:val="24"/>
          <w:szCs w:val="24"/>
        </w:rPr>
        <w:t>Hence, MRP provides a statistically principled way to both adjust for non-response bias and also obtain small-area estimates.</w:t>
      </w:r>
      <w:r w:rsidR="001D5B52">
        <w:rPr>
          <w:sz w:val="24"/>
          <w:szCs w:val="24"/>
        </w:rPr>
        <w:t xml:space="preserve"> We wish to emphasize that this is in contrast to more conventional survey weighting (e.g., using inverse probability or raking weights) which are often unable to estimate stable weights for sparse population strata. </w:t>
      </w:r>
    </w:p>
    <w:p w14:paraId="230B8C63" w14:textId="339BD4CF" w:rsidR="00752006" w:rsidRDefault="00A56E7D" w:rsidP="00721D90">
      <w:pPr>
        <w:spacing w:after="0" w:line="480" w:lineRule="auto"/>
        <w:rPr>
          <w:sz w:val="24"/>
          <w:szCs w:val="24"/>
        </w:rPr>
      </w:pPr>
      <w:r>
        <w:rPr>
          <w:sz w:val="24"/>
          <w:szCs w:val="24"/>
        </w:rPr>
        <w:tab/>
        <w:t xml:space="preserve">For a simplified example, </w:t>
      </w:r>
      <w:r w:rsidR="00752006">
        <w:rPr>
          <w:sz w:val="24"/>
          <w:szCs w:val="24"/>
        </w:rPr>
        <w:t xml:space="preserve">imagine one estimated an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30013BDF" w:rsidR="00752006" w:rsidRPr="00752006" w:rsidRDefault="00752006" w:rsidP="00721D90">
      <w:pPr>
        <w:spacing w:after="0" w:line="480" w:lineRule="auto"/>
        <w:rPr>
          <w:sz w:val="24"/>
          <w:szCs w:val="24"/>
        </w:rPr>
      </w:pPr>
      <m:oMathPara>
        <m:oMath>
          <m:sSub>
            <m:sSubPr>
              <m:ctrlPr>
                <w:rPr>
                  <w:rFonts w:ascii="Cambria Math" w:hAnsi="Cambria Math"/>
                  <w:i/>
                  <w:sz w:val="24"/>
                  <w:szCs w:val="24"/>
                </w:rPr>
              </m:ctrlPr>
            </m:sSubPr>
            <m:e>
              <m:r>
                <m:rPr>
                  <m:nor/>
                </m:rPr>
                <w:rPr>
                  <w:rFonts w:ascii="Cambria Math" w:hAnsi="Cambria Math"/>
                  <w:sz w:val="24"/>
                  <w:szCs w:val="24"/>
                </w:rPr>
                <m:t>Trust</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=1.</m:t>
          </m:r>
          <m:r>
            <w:rPr>
              <w:rFonts w:ascii="Cambria Math" w:hAnsi="Cambria Math"/>
              <w:sz w:val="24"/>
              <w:szCs w:val="24"/>
            </w:rPr>
            <m:t>4</m:t>
          </m:r>
          <m:r>
            <w:rPr>
              <w:rFonts w:ascii="Cambria Math" w:hAnsi="Cambria Math"/>
              <w:sz w:val="24"/>
              <w:szCs w:val="24"/>
            </w:rPr>
            <m:t>+0.5⋅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01BA01F" w14:textId="17173FD2" w:rsidR="00650BBA" w:rsidRDefault="00650BBA" w:rsidP="00721D90">
      <w:pPr>
        <w:spacing w:after="0" w:line="480" w:lineRule="auto"/>
        <w:rPr>
          <w:rFonts w:eastAsiaTheme="minorEastAsia"/>
          <w:sz w:val="24"/>
          <w:szCs w:val="24"/>
        </w:rPr>
      </w:pPr>
      <w:r>
        <w:rPr>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Pr>
          <w:rFonts w:eastAsiaTheme="minorEastAsia"/>
          <w:i/>
          <w:iCs/>
          <w:sz w:val="24"/>
          <w:szCs w:val="24"/>
        </w:rPr>
        <w:t>Census 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133B4A4F" w14:textId="34CF5B7A"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Pr="00721D90">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3AA1F466"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034E92">
        <w:rPr>
          <w:rFonts w:eastAsiaTheme="minorEastAsia"/>
          <w:sz w:val="24"/>
          <w:szCs w:val="24"/>
        </w:rPr>
        <w:t xml:space="preserve">Additionally the survey allows variation </w:t>
      </w:r>
      <w:r w:rsidR="00195BDE">
        <w:rPr>
          <w:rFonts w:eastAsiaTheme="minorEastAsia"/>
          <w:sz w:val="24"/>
          <w:szCs w:val="24"/>
        </w:rPr>
        <w:t xml:space="preserve">to be estimated for specific geographic areas, so one can estimate the spatial variability of attitudes towards the police at different geographic areas, conditional on the areas demographic </w:t>
      </w:r>
      <w:r w:rsidR="00616C28">
        <w:rPr>
          <w:rFonts w:eastAsiaTheme="minorEastAsia"/>
          <w:sz w:val="24"/>
          <w:szCs w:val="24"/>
        </w:rPr>
        <w:t>composition.</w:t>
      </w:r>
    </w:p>
    <w:p w14:paraId="49835E8C" w14:textId="0178CC31" w:rsidR="00151531" w:rsidRDefault="009E4AFA" w:rsidP="00721D90">
      <w:pPr>
        <w:spacing w:after="0" w:line="480" w:lineRule="auto"/>
        <w:ind w:firstLine="720"/>
        <w:rPr>
          <w:rFonts w:eastAsiaTheme="minorEastAsia"/>
          <w:sz w:val="24"/>
          <w:szCs w:val="24"/>
        </w:rPr>
      </w:pPr>
      <w:r>
        <w:rPr>
          <w:rFonts w:eastAsiaTheme="minorEastAsia"/>
          <w:sz w:val="24"/>
          <w:szCs w:val="24"/>
        </w:rPr>
        <w:t xml:space="preserve">Here there are two </w:t>
      </w:r>
      <w:r w:rsidR="009F43A2">
        <w:rPr>
          <w:rFonts w:eastAsiaTheme="minorEastAsia"/>
          <w:sz w:val="24"/>
          <w:szCs w:val="24"/>
        </w:rPr>
        <w:t xml:space="preserve">steps </w:t>
      </w:r>
      <w:r>
        <w:rPr>
          <w:rFonts w:eastAsiaTheme="minorEastAsia"/>
          <w:sz w:val="24"/>
          <w:szCs w:val="24"/>
        </w:rPr>
        <w:t>of adjustment</w:t>
      </w:r>
      <w:r w:rsidR="009F43A2">
        <w:rPr>
          <w:rFonts w:eastAsiaTheme="minorEastAsia"/>
          <w:sz w:val="24"/>
          <w:szCs w:val="24"/>
        </w:rPr>
        <w:t>;</w:t>
      </w:r>
      <w:r>
        <w:rPr>
          <w:rFonts w:eastAsiaTheme="minorEastAsia"/>
          <w:sz w:val="24"/>
          <w:szCs w:val="24"/>
        </w:rPr>
        <w:t xml:space="preserve"> first is a regression equation to estimate the expected value per some strata, and the second stage is to properly aggregate those regression based expected values to some geographic area of interest.</w:t>
      </w:r>
      <w:r w:rsidR="009F43A2">
        <w:rPr>
          <w:rFonts w:eastAsiaTheme="minorEastAsia"/>
          <w:sz w:val="24"/>
          <w:szCs w:val="24"/>
        </w:rPr>
        <w:t xml:space="preserve"> The first step (the regression equation), can estimate specific neighborhood level factors, the second step can provide more accurate interpolation to estimate aggregate attitudes over specific geographic areas.</w:t>
      </w:r>
    </w:p>
    <w:p w14:paraId="4166F36B" w14:textId="521DD18E"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spatial random effects for demographics as well, e.g. allow the </w:t>
      </w:r>
      <w:r>
        <w:rPr>
          <w:rFonts w:eastAsiaTheme="minorEastAsia"/>
          <w:i/>
          <w:iCs/>
          <w:sz w:val="24"/>
          <w:szCs w:val="24"/>
        </w:rPr>
        <w:t>Older</w:t>
      </w:r>
      <w:r>
        <w:rPr>
          <w:rFonts w:eastAsiaTheme="minorEastAsia"/>
          <w:sz w:val="24"/>
          <w:szCs w:val="24"/>
        </w:rPr>
        <w:t xml:space="preserve"> effect to vary across neighborhoods. </w:t>
      </w:r>
      <w:r w:rsidR="00F7475A">
        <w:rPr>
          <w:rFonts w:eastAsiaTheme="minorEastAsia"/>
          <w:sz w:val="24"/>
          <w:szCs w:val="24"/>
        </w:rPr>
        <w:t xml:space="preserve">It can of course be extended to more complicated regression models, e.g. </w:t>
      </w:r>
      <w:r w:rsidR="00F7475A">
        <w:rPr>
          <w:rFonts w:eastAsiaTheme="minorEastAsia"/>
          <w:sz w:val="24"/>
          <w:szCs w:val="24"/>
        </w:rPr>
        <w:lastRenderedPageBreak/>
        <w:t xml:space="preserve">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 e.g. one could have a random effect for postal routes, but then post-stratify to other arbitrary geographic areas using a dasymetric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Ailshire, 2014; </w:t>
      </w:r>
      <w:r w:rsidR="004517FA">
        <w:rPr>
          <w:rFonts w:eastAsiaTheme="minorEastAsia"/>
          <w:sz w:val="24"/>
          <w:szCs w:val="24"/>
        </w:rPr>
        <w:t>Wheeler et al., 2020), instead of having random effects for specific geographic areas.</w:t>
      </w:r>
    </w:p>
    <w:p w14:paraId="49E4BD77" w14:textId="2A1A4BF8" w:rsidR="005062CF" w:rsidRDefault="005062CF" w:rsidP="00721D90">
      <w:pPr>
        <w:spacing w:after="0" w:line="480" w:lineRule="auto"/>
        <w:rPr>
          <w:sz w:val="24"/>
          <w:szCs w:val="24"/>
        </w:rPr>
      </w:pPr>
      <w:r>
        <w:rPr>
          <w:rFonts w:eastAsiaTheme="minorEastAsia"/>
          <w:sz w:val="24"/>
          <w:szCs w:val="24"/>
        </w:rPr>
        <w:tab/>
        <w:t>This flexibility allows agencies to tailor the survey and the subsequent analyses to meet their particular needs.</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(e.g. English as a second language immigrants), the survey distribution and the analysis can be specifically tailored to generate reliable estimates among that sub-population.</w:t>
      </w:r>
      <w:r w:rsidR="00DB4727">
        <w:rPr>
          <w:rFonts w:eastAsiaTheme="minorEastAsia"/>
          <w:sz w:val="24"/>
          <w:szCs w:val="24"/>
        </w:rPr>
        <w:t xml:space="preserve"> Since EDDM targets everyone on a particular postal route, there is no need to have a different survey modality to collect responses.</w:t>
      </w:r>
    </w:p>
    <w:p w14:paraId="1F6D8A8F" w14:textId="5736ADD1" w:rsidR="00D11815"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w:t>
      </w:r>
      <w:r w:rsidR="00405744">
        <w:rPr>
          <w:sz w:val="24"/>
          <w:szCs w:val="24"/>
        </w:rPr>
        <w:t>&amp;</w:t>
      </w:r>
      <w:r w:rsidR="00B92A20">
        <w:rPr>
          <w:sz w:val="24"/>
          <w:szCs w:val="24"/>
        </w:rPr>
        <w:t xml:space="preserve"> </w:t>
      </w:r>
      <w:r>
        <w:rPr>
          <w:sz w:val="24"/>
          <w:szCs w:val="24"/>
        </w:rPr>
        <w:t xml:space="preserve">McGarrell (2023) used MRP to estimate block-group level estimates of attitudes toward the police in Detroit, MI. </w:t>
      </w:r>
      <w:r w:rsidR="00814951">
        <w:rPr>
          <w:sz w:val="24"/>
          <w:szCs w:val="24"/>
        </w:rPr>
        <w:t xml:space="preserve">For the current </w:t>
      </w:r>
      <w:r w:rsidR="001A1C1E">
        <w:rPr>
          <w:sz w:val="24"/>
          <w:szCs w:val="24"/>
        </w:rPr>
        <w:t>inquiry</w:t>
      </w:r>
      <w:r w:rsidR="00814951">
        <w:rPr>
          <w:sz w:val="24"/>
          <w:szCs w:val="24"/>
        </w:rPr>
        <w:t>, as long as survey respondents can be geographically identified to the micro-level, the aforementioned MRP approach can be used. For example:  if survey respondents identified the street intersection nearest their home</w:t>
      </w:r>
      <w:r w:rsidR="00206877">
        <w:rPr>
          <w:sz w:val="24"/>
          <w:szCs w:val="24"/>
        </w:rPr>
        <w:t xml:space="preserve"> (Wheeler et al., 2020)</w:t>
      </w:r>
      <w:r w:rsidR="00814951">
        <w:rPr>
          <w:sz w:val="24"/>
          <w:szCs w:val="24"/>
        </w:rPr>
        <w:t xml:space="preserve">, demographic information on sex and race could easily be obtained at the block or block group level. A preliminary proof-of-concept </w:t>
      </w:r>
      <w:r w:rsidR="001A1C1E">
        <w:rPr>
          <w:sz w:val="24"/>
          <w:szCs w:val="24"/>
        </w:rPr>
        <w:t xml:space="preserve">study using a community survey of 842 residents in Raleigh, NC showed that obtaining </w:t>
      </w:r>
      <w:r w:rsidR="001A1C1E">
        <w:rPr>
          <w:sz w:val="24"/>
          <w:szCs w:val="24"/>
        </w:rPr>
        <w:lastRenderedPageBreak/>
        <w:t>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xml:space="preserve">. Given the cost estimates above ($10,000/1,000 responses) a mid-to-large sized city could easily obtain small-area estimates of survey responses. This has the added benefit of helping to generate survey estimates for regions of a city which are typically underserved, and consequently often have lower response rates than more affluent areas. </w:t>
      </w:r>
    </w:p>
    <w:p w14:paraId="66CBB89A" w14:textId="67C87B0B" w:rsidR="00F7475A" w:rsidRDefault="001A1C1E" w:rsidP="00721D90">
      <w:pPr>
        <w:spacing w:after="0"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utilizes existing population demographic data to adjust for differential non-response. </w:t>
      </w:r>
      <w:r w:rsidR="00F7475A">
        <w:rPr>
          <w:sz w:val="24"/>
          <w:szCs w:val="24"/>
        </w:rPr>
        <w:t xml:space="preserve">While differential response is still a threat under this design, empirical evidence often shows that response rates are directly tied to the quality of different survey estimates (Pickett et al., 2018). We believe EDDM, even if response rates are lower than other canvas approaches, are the </w:t>
      </w:r>
      <w:r w:rsidR="00687475">
        <w:rPr>
          <w:sz w:val="24"/>
          <w:szCs w:val="24"/>
        </w:rPr>
        <w:t>best approach that balances survey coverage and cost-effectiveness.</w:t>
      </w:r>
    </w:p>
    <w:p w14:paraId="2A2A57FC" w14:textId="5C678E35"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small areas within sparsely populated demographic strata (for example, the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63EDF3D9" w14:textId="3B0BD697" w:rsidR="001352EA" w:rsidRPr="001352EA" w:rsidRDefault="001352EA" w:rsidP="00721D90">
      <w:pPr>
        <w:spacing w:after="0" w:line="480" w:lineRule="auto"/>
        <w:rPr>
          <w:sz w:val="24"/>
          <w:szCs w:val="24"/>
        </w:rPr>
      </w:pPr>
    </w:p>
    <w:p w14:paraId="5C2E6325" w14:textId="77777777" w:rsidR="001352EA" w:rsidRDefault="001352EA" w:rsidP="00721D90">
      <w:pPr>
        <w:spacing w:after="0" w:line="480" w:lineRule="auto"/>
        <w:rPr>
          <w:sz w:val="24"/>
          <w:szCs w:val="24"/>
        </w:rPr>
      </w:pPr>
    </w:p>
    <w:p w14:paraId="7EA79C10" w14:textId="77777777" w:rsidR="00CA04E4" w:rsidRPr="001A1C1E" w:rsidRDefault="00CA04E4" w:rsidP="00721D90">
      <w:pPr>
        <w:spacing w:after="0" w:line="480" w:lineRule="auto"/>
        <w:ind w:firstLine="720"/>
        <w:rPr>
          <w:sz w:val="24"/>
          <w:szCs w:val="24"/>
        </w:rPr>
      </w:pPr>
    </w:p>
    <w:p w14:paraId="2AA4A023" w14:textId="77777777" w:rsidR="00CC780F" w:rsidRPr="00476938" w:rsidRDefault="00CC780F" w:rsidP="00721D90">
      <w:pPr>
        <w:spacing w:after="0" w:line="480" w:lineRule="auto"/>
        <w:rPr>
          <w:i/>
          <w:iCs/>
          <w:sz w:val="24"/>
          <w:szCs w:val="24"/>
        </w:rPr>
      </w:pP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7CC2" w14:textId="77777777" w:rsidR="000F0279" w:rsidRDefault="000F0279" w:rsidP="00F640A6">
      <w:pPr>
        <w:spacing w:after="0" w:line="240" w:lineRule="auto"/>
      </w:pPr>
      <w:r>
        <w:separator/>
      </w:r>
    </w:p>
  </w:endnote>
  <w:endnote w:type="continuationSeparator" w:id="0">
    <w:p w14:paraId="66C4E8A9" w14:textId="77777777" w:rsidR="000F0279" w:rsidRDefault="000F0279"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BDDA" w14:textId="77777777" w:rsidR="000F0279" w:rsidRDefault="000F0279" w:rsidP="00F640A6">
      <w:pPr>
        <w:spacing w:after="0" w:line="240" w:lineRule="auto"/>
      </w:pPr>
      <w:r>
        <w:separator/>
      </w:r>
    </w:p>
  </w:footnote>
  <w:footnote w:type="continuationSeparator" w:id="0">
    <w:p w14:paraId="1C0F256A" w14:textId="77777777" w:rsidR="000F0279" w:rsidRDefault="000F0279"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560BB704" w:rsidR="008213C2" w:rsidRDefault="008213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31998"/>
    <w:rsid w:val="00034E92"/>
    <w:rsid w:val="000D5B99"/>
    <w:rsid w:val="000E2AD3"/>
    <w:rsid w:val="000F0279"/>
    <w:rsid w:val="00125B05"/>
    <w:rsid w:val="001352EA"/>
    <w:rsid w:val="00151531"/>
    <w:rsid w:val="00182796"/>
    <w:rsid w:val="00185F64"/>
    <w:rsid w:val="00195BDE"/>
    <w:rsid w:val="001A1C1E"/>
    <w:rsid w:val="001A5419"/>
    <w:rsid w:val="001B2F59"/>
    <w:rsid w:val="001C7565"/>
    <w:rsid w:val="001D5B52"/>
    <w:rsid w:val="001F392A"/>
    <w:rsid w:val="00206877"/>
    <w:rsid w:val="0024659E"/>
    <w:rsid w:val="002505E0"/>
    <w:rsid w:val="00274711"/>
    <w:rsid w:val="0027522B"/>
    <w:rsid w:val="00290678"/>
    <w:rsid w:val="002B76D0"/>
    <w:rsid w:val="002E22EE"/>
    <w:rsid w:val="002F46E2"/>
    <w:rsid w:val="0030080B"/>
    <w:rsid w:val="0030620A"/>
    <w:rsid w:val="00327554"/>
    <w:rsid w:val="003520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517FA"/>
    <w:rsid w:val="00452BEF"/>
    <w:rsid w:val="00454CD4"/>
    <w:rsid w:val="00476938"/>
    <w:rsid w:val="00481D1A"/>
    <w:rsid w:val="004854BB"/>
    <w:rsid w:val="004A0A4A"/>
    <w:rsid w:val="004C1ED3"/>
    <w:rsid w:val="004C5CCD"/>
    <w:rsid w:val="004E17D4"/>
    <w:rsid w:val="004E56E0"/>
    <w:rsid w:val="004E579D"/>
    <w:rsid w:val="0050427A"/>
    <w:rsid w:val="005062CF"/>
    <w:rsid w:val="00507627"/>
    <w:rsid w:val="00507D5D"/>
    <w:rsid w:val="0052160A"/>
    <w:rsid w:val="00526D72"/>
    <w:rsid w:val="00536A04"/>
    <w:rsid w:val="0055068E"/>
    <w:rsid w:val="00552DCE"/>
    <w:rsid w:val="005568A9"/>
    <w:rsid w:val="00565CEE"/>
    <w:rsid w:val="00566F79"/>
    <w:rsid w:val="00577013"/>
    <w:rsid w:val="005C28C7"/>
    <w:rsid w:val="005C40E1"/>
    <w:rsid w:val="005D120E"/>
    <w:rsid w:val="005D1603"/>
    <w:rsid w:val="005D6C92"/>
    <w:rsid w:val="00616C28"/>
    <w:rsid w:val="00650BBA"/>
    <w:rsid w:val="00656732"/>
    <w:rsid w:val="00665277"/>
    <w:rsid w:val="00666470"/>
    <w:rsid w:val="00684481"/>
    <w:rsid w:val="00687475"/>
    <w:rsid w:val="006B2EC4"/>
    <w:rsid w:val="006E1930"/>
    <w:rsid w:val="006E5627"/>
    <w:rsid w:val="00707127"/>
    <w:rsid w:val="007158E7"/>
    <w:rsid w:val="0071775F"/>
    <w:rsid w:val="00721D90"/>
    <w:rsid w:val="00752006"/>
    <w:rsid w:val="00777A1E"/>
    <w:rsid w:val="007953EB"/>
    <w:rsid w:val="007B4EF2"/>
    <w:rsid w:val="007C3B76"/>
    <w:rsid w:val="00814951"/>
    <w:rsid w:val="008213C2"/>
    <w:rsid w:val="0082433B"/>
    <w:rsid w:val="0083760A"/>
    <w:rsid w:val="00864C10"/>
    <w:rsid w:val="00885302"/>
    <w:rsid w:val="00887D66"/>
    <w:rsid w:val="008A0691"/>
    <w:rsid w:val="008C2F33"/>
    <w:rsid w:val="008D138F"/>
    <w:rsid w:val="008D461B"/>
    <w:rsid w:val="008F1504"/>
    <w:rsid w:val="00903C6C"/>
    <w:rsid w:val="00903D17"/>
    <w:rsid w:val="009150CE"/>
    <w:rsid w:val="0092798E"/>
    <w:rsid w:val="0093277A"/>
    <w:rsid w:val="00942AA2"/>
    <w:rsid w:val="00966FCF"/>
    <w:rsid w:val="009A4F67"/>
    <w:rsid w:val="009C2200"/>
    <w:rsid w:val="009C4C63"/>
    <w:rsid w:val="009D5284"/>
    <w:rsid w:val="009E4AFA"/>
    <w:rsid w:val="009F43A2"/>
    <w:rsid w:val="00A418D5"/>
    <w:rsid w:val="00A43C8C"/>
    <w:rsid w:val="00A56E7D"/>
    <w:rsid w:val="00A6185C"/>
    <w:rsid w:val="00A64313"/>
    <w:rsid w:val="00A77510"/>
    <w:rsid w:val="00AB1A58"/>
    <w:rsid w:val="00AC7A89"/>
    <w:rsid w:val="00AD26CF"/>
    <w:rsid w:val="00AE009B"/>
    <w:rsid w:val="00AF2A79"/>
    <w:rsid w:val="00B07206"/>
    <w:rsid w:val="00B3047C"/>
    <w:rsid w:val="00B74DDB"/>
    <w:rsid w:val="00B92A20"/>
    <w:rsid w:val="00B975AF"/>
    <w:rsid w:val="00BA41CA"/>
    <w:rsid w:val="00BB6BDA"/>
    <w:rsid w:val="00BD6521"/>
    <w:rsid w:val="00BF6188"/>
    <w:rsid w:val="00BF7F09"/>
    <w:rsid w:val="00C00C9C"/>
    <w:rsid w:val="00C102A0"/>
    <w:rsid w:val="00C10632"/>
    <w:rsid w:val="00C32DCE"/>
    <w:rsid w:val="00C53CB3"/>
    <w:rsid w:val="00C5642C"/>
    <w:rsid w:val="00CA04E4"/>
    <w:rsid w:val="00CA5546"/>
    <w:rsid w:val="00CC780F"/>
    <w:rsid w:val="00D0542E"/>
    <w:rsid w:val="00D11815"/>
    <w:rsid w:val="00D535E2"/>
    <w:rsid w:val="00D6067B"/>
    <w:rsid w:val="00D72A66"/>
    <w:rsid w:val="00D92F62"/>
    <w:rsid w:val="00D94326"/>
    <w:rsid w:val="00DB4727"/>
    <w:rsid w:val="00DB7D71"/>
    <w:rsid w:val="00DC7749"/>
    <w:rsid w:val="00DD1FCC"/>
    <w:rsid w:val="00E55800"/>
    <w:rsid w:val="00E902A9"/>
    <w:rsid w:val="00EC3F56"/>
    <w:rsid w:val="00ED2D7C"/>
    <w:rsid w:val="00F02D45"/>
    <w:rsid w:val="00F5612B"/>
    <w:rsid w:val="00F640A6"/>
    <w:rsid w:val="00F64137"/>
    <w:rsid w:val="00F717A3"/>
    <w:rsid w:val="00F7475A"/>
    <w:rsid w:val="00F97129"/>
    <w:rsid w:val="00FA7990"/>
    <w:rsid w:val="00FC39A2"/>
    <w:rsid w:val="00FE4837"/>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12</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157</cp:revision>
  <dcterms:created xsi:type="dcterms:W3CDTF">2023-07-04T19:13:00Z</dcterms:created>
  <dcterms:modified xsi:type="dcterms:W3CDTF">2023-07-16T16:31:00Z</dcterms:modified>
</cp:coreProperties>
</file>