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5D77FB" w:rsidRPr="00232745" w:rsidRDefault="005D77FB"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5D77FB" w:rsidRPr="00232745" w:rsidRDefault="005D77FB" w:rsidP="005D77FB">
      <w:pPr>
        <w:jc w:val="center"/>
      </w:pPr>
    </w:p>
    <w:p w:rsidR="005D77FB" w:rsidRPr="00232745" w:rsidRDefault="005D77FB" w:rsidP="005D77FB">
      <w:pPr>
        <w:jc w:val="center"/>
      </w:pPr>
      <w:r w:rsidRPr="00232745">
        <w:t>In</w:t>
      </w:r>
    </w:p>
    <w:p w:rsidR="005D77FB" w:rsidRPr="00232745" w:rsidRDefault="005D77FB" w:rsidP="005D77FB">
      <w:pPr>
        <w:jc w:val="center"/>
      </w:pPr>
    </w:p>
    <w:p w:rsidR="005D77FB" w:rsidRPr="00232745" w:rsidRDefault="005D77FB" w:rsidP="005D77FB">
      <w:pPr>
        <w:jc w:val="center"/>
      </w:pPr>
      <w:r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5D77FB" w:rsidP="005D77FB">
      <w:pPr>
        <w:jc w:val="center"/>
      </w:pPr>
    </w:p>
    <w:p w:rsidR="005D77FB" w:rsidRPr="00232745" w:rsidRDefault="005D77FB" w:rsidP="005D77FB">
      <w:pPr>
        <w:jc w:val="center"/>
      </w:pPr>
      <w:r>
        <w:t>Master of Science in Engineering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2E2A27">
          <w:pPr>
            <w:pStyle w:val="TOC3"/>
            <w:tabs>
              <w:tab w:val="left" w:pos="1320"/>
              <w:tab w:val="right" w:leader="dot" w:pos="9350"/>
            </w:tabs>
            <w:rPr>
              <w:rFonts w:asciiTheme="minorHAnsi" w:eastAsiaTheme="minorEastAsia" w:hAnsiTheme="minorHAnsi"/>
              <w:noProof/>
              <w:sz w:val="22"/>
            </w:rPr>
          </w:pPr>
          <w:hyperlink w:anchor="_Toc10044659" w:history="1">
            <w:r w:rsidR="006D72DA" w:rsidRPr="003D614F">
              <w:rPr>
                <w:rStyle w:val="Hyperlink"/>
                <w:noProof/>
              </w:rPr>
              <w:t>3.1.1.</w:t>
            </w:r>
            <w:r w:rsidR="006D72DA">
              <w:rPr>
                <w:rFonts w:asciiTheme="minorHAnsi" w:eastAsiaTheme="minorEastAsia" w:hAnsiTheme="minorHAnsi"/>
                <w:noProof/>
                <w:sz w:val="22"/>
              </w:rPr>
              <w:tab/>
            </w:r>
            <w:r w:rsidR="006D72DA" w:rsidRPr="003D614F">
              <w:rPr>
                <w:rStyle w:val="Hyperlink"/>
                <w:noProof/>
              </w:rPr>
              <w:t>Develop a mathematical model for iterative design of an organic Rankine cycle</w:t>
            </w:r>
            <w:r w:rsidR="006D72DA">
              <w:rPr>
                <w:noProof/>
                <w:webHidden/>
              </w:rPr>
              <w:tab/>
            </w:r>
            <w:r w:rsidR="006D72DA">
              <w:rPr>
                <w:noProof/>
                <w:webHidden/>
              </w:rPr>
              <w:fldChar w:fldCharType="begin"/>
            </w:r>
            <w:r w:rsidR="006D72DA">
              <w:rPr>
                <w:noProof/>
                <w:webHidden/>
              </w:rPr>
              <w:instrText xml:space="preserve"> PAGEREF _Toc10044659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2E2A27">
          <w:pPr>
            <w:pStyle w:val="TOC3"/>
            <w:tabs>
              <w:tab w:val="left" w:pos="1320"/>
              <w:tab w:val="right" w:leader="dot" w:pos="9350"/>
            </w:tabs>
            <w:rPr>
              <w:rFonts w:asciiTheme="minorHAnsi" w:eastAsiaTheme="minorEastAsia" w:hAnsiTheme="minorHAnsi"/>
              <w:noProof/>
              <w:sz w:val="22"/>
            </w:rPr>
          </w:pPr>
          <w:hyperlink w:anchor="_Toc10044660" w:history="1">
            <w:r w:rsidR="006D72DA" w:rsidRPr="003D614F">
              <w:rPr>
                <w:rStyle w:val="Hyperlink"/>
                <w:noProof/>
              </w:rPr>
              <w:t>3.1.2.</w:t>
            </w:r>
            <w:r w:rsidR="006D72DA">
              <w:rPr>
                <w:rFonts w:asciiTheme="minorHAnsi" w:eastAsiaTheme="minorEastAsia" w:hAnsiTheme="minorHAnsi"/>
                <w:noProof/>
                <w:sz w:val="22"/>
              </w:rPr>
              <w:tab/>
            </w:r>
            <w:r w:rsidR="006D72DA" w:rsidRPr="003D614F">
              <w:rPr>
                <w:rStyle w:val="Hyperlink"/>
                <w:noProof/>
              </w:rPr>
              <w:t>Design an organic Rankine cycle to recover heat from an automotive cooling system</w:t>
            </w:r>
            <w:r w:rsidR="006D72DA">
              <w:rPr>
                <w:noProof/>
                <w:webHidden/>
              </w:rPr>
              <w:tab/>
            </w:r>
            <w:r w:rsidR="006D72DA">
              <w:rPr>
                <w:noProof/>
                <w:webHidden/>
              </w:rPr>
              <w:fldChar w:fldCharType="begin"/>
            </w:r>
            <w:r w:rsidR="006D72DA">
              <w:rPr>
                <w:noProof/>
                <w:webHidden/>
              </w:rPr>
              <w:instrText xml:space="preserve"> PAGEREF _Toc10044660 \h </w:instrText>
            </w:r>
            <w:r w:rsidR="006D72DA">
              <w:rPr>
                <w:noProof/>
                <w:webHidden/>
              </w:rPr>
            </w:r>
            <w:r w:rsidR="006D72DA">
              <w:rPr>
                <w:noProof/>
                <w:webHidden/>
              </w:rPr>
              <w:fldChar w:fldCharType="separate"/>
            </w:r>
            <w:r w:rsidR="006D72DA">
              <w:rPr>
                <w:noProof/>
                <w:webHidden/>
              </w:rPr>
              <w:t>18</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2E2A27">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2E2A27">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2E2A27">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lastRenderedPageBreak/>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1004465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6D72DA">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Pr="00FE4028" w:rsidRDefault="00FE4028" w:rsidP="00FE4028"/>
    <w:p w:rsidR="00306015" w:rsidRDefault="00AB095E" w:rsidP="00306015">
      <w:pPr>
        <w:pStyle w:val="Heading2"/>
      </w:pPr>
      <w:bookmarkStart w:id="3" w:name="_Toc10044652"/>
      <w:r>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2E2A27"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7644DC">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2E2A27"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7644DC">
          <w:rPr>
            <w:noProof/>
          </w:rPr>
          <w:t>2</w:t>
        </w:r>
      </w:fldSimple>
      <w:r>
        <w:t>: Radiative heat transfer - Stefan-</w:t>
      </w:r>
      <w:proofErr w:type="spellStart"/>
      <w:r>
        <w:t>Botzmann</w:t>
      </w:r>
      <w:proofErr w:type="spellEnd"/>
      <w:r>
        <w:t xml:space="preserve"> law</w:t>
      </w:r>
    </w:p>
    <w:p w:rsidR="00AB095E" w:rsidRDefault="00AB095E" w:rsidP="00AB095E">
      <w:r>
        <w:lastRenderedPageBreak/>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AB095E" w:rsidRDefault="002E2A27"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Default="002E2A27"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7644DC">
          <w:rPr>
            <w:noProof/>
          </w:rPr>
          <w:t>3</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2E2A27"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7644DC">
          <w:rPr>
            <w:noProof/>
          </w:rPr>
          <w:t>4</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7644DC">
          <w:rPr>
            <w:noProof/>
          </w:rPr>
          <w:t>5</w:t>
        </w:r>
      </w:fldSimple>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7644DC">
          <w:rPr>
            <w:noProof/>
          </w:rPr>
          <w:t>6</w:t>
        </w:r>
      </w:fldSimple>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The specific volume of a saturated liquid is often several orders of magnitude lower than that of a saturated vapor. This fact allows for two useful processes. The first is that the rapidly 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6D72DA">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7644DC">
          <w:rPr>
            <w:noProof/>
          </w:rPr>
          <w:t>7</w:t>
        </w:r>
      </w:fldSimple>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2E2A27"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61101C">
      <w:pPr>
        <w:pStyle w:val="Caption"/>
        <w:jc w:val="center"/>
      </w:pPr>
      <w:r>
        <w:t xml:space="preserve">Equation </w:t>
      </w:r>
      <w:fldSimple w:instr=" SEQ Equation \* ARABIC ">
        <w:r w:rsidR="007644DC">
          <w:rPr>
            <w:noProof/>
          </w:rPr>
          <w:t>8</w:t>
        </w:r>
      </w:fldSimple>
      <w:r>
        <w:t>: Specific volumes of saturated water at liquid and vapor states</w:t>
      </w:r>
    </w:p>
    <w:p w:rsidR="0061101C" w:rsidRDefault="0061101C" w:rsidP="0061101C"/>
    <w:p w:rsidR="0061101C" w:rsidRDefault="0061101C" w:rsidP="0061101C"/>
    <w:p w:rsidR="0061101C" w:rsidRDefault="0061101C" w:rsidP="0061101C"/>
    <w:p w:rsidR="0061101C" w:rsidRDefault="0061101C" w:rsidP="0061101C"/>
    <w:p w:rsidR="0061101C" w:rsidRDefault="0061101C" w:rsidP="0061101C"/>
    <w:p w:rsidR="0061101C" w:rsidRDefault="0061101C" w:rsidP="0061101C">
      <w:r>
        <w:lastRenderedPageBreak/>
        <w:t>Because the mass of the water in the system remains constant, the following relationship holds:</w:t>
      </w:r>
    </w:p>
    <w:p w:rsidR="0061101C" w:rsidRDefault="0061101C" w:rsidP="0061101C"/>
    <w:p w:rsidR="0061101C" w:rsidRPr="0061101C" w:rsidRDefault="002E2A27"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7644DC">
          <w:rPr>
            <w:noProof/>
          </w:rPr>
          <w:t>9</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2E2A27"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7644DC">
          <w:rPr>
            <w:noProof/>
          </w:rPr>
          <w:t>10</w:t>
        </w:r>
      </w:fldSimple>
      <w:r>
        <w:t>: Vapor volume</w:t>
      </w:r>
    </w:p>
    <w:p w:rsidR="005B4F21" w:rsidRDefault="005B4F21" w:rsidP="005B4F21"/>
    <w:p w:rsidR="005B4F21" w:rsidRPr="005B4F21" w:rsidRDefault="005B4F21" w:rsidP="005B4F21">
      <w:r>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6D72DA">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BF5178" w:rsidRDefault="00BF5178" w:rsidP="00070F2C"/>
    <w:p w:rsidR="00BF5178" w:rsidRPr="00BF5178" w:rsidRDefault="00BF5178"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6D72DA">
          <w:rPr>
            <w:noProof/>
          </w:rPr>
          <w:t>3</w:t>
        </w:r>
      </w:fldSimple>
      <w:r>
        <w:t>: T-s diagram for an ideal Rankine cycle</w:t>
      </w:r>
    </w:p>
    <w:p w:rsidR="00D85DFC" w:rsidRDefault="00D85DFC" w:rsidP="00D85DFC"/>
    <w:p w:rsidR="000B4BBF" w:rsidRPr="000B4BBF" w:rsidRDefault="000B4BBF" w:rsidP="00D85DFC">
      <w:pPr>
        <w:rPr>
          <w:b/>
        </w:rPr>
      </w:pPr>
      <w:r w:rsidRPr="000B4BBF">
        <w:rPr>
          <w:b/>
        </w:rPr>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lastRenderedPageBreak/>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w:t>
      </w:r>
      <w:r>
        <w:lastRenderedPageBreak/>
        <w:t>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w:t>
      </w:r>
      <w:r>
        <w:lastRenderedPageBreak/>
        <w:t>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6D72DA">
          <w:rPr>
            <w:noProof/>
          </w:rPr>
          <w:t>4</w:t>
        </w:r>
      </w:fldSimple>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w:t>
      </w:r>
      <w:r>
        <w:lastRenderedPageBreak/>
        <w:t>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2E2A27"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7644DC">
        <w:rPr>
          <w:noProof/>
        </w:rPr>
        <w:t>11</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C01794">
      <w:pPr>
        <w:pStyle w:val="Heading1"/>
      </w:pPr>
      <w:bookmarkStart w:id="10" w:name="_Toc10044657"/>
      <w:r>
        <w:lastRenderedPageBreak/>
        <w:t>Plan of study</w:t>
      </w:r>
      <w:bookmarkEnd w:id="10"/>
    </w:p>
    <w:p w:rsidR="000372D3" w:rsidRDefault="000372D3" w:rsidP="000372D3"/>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6D72DA">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lastRenderedPageBreak/>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6D72DA">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6D72DA">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6D72DA">
          <w:rPr>
            <w:noProof/>
          </w:rPr>
          <w:t>7</w:t>
        </w:r>
      </w:fldSimple>
      <w:r>
        <w:t>: Rankine cycle with no superheat</w:t>
      </w:r>
    </w:p>
    <w:p w:rsidR="0025562A" w:rsidRDefault="0025562A" w:rsidP="00EE071E"/>
    <w:p w:rsidR="00EE071E" w:rsidRDefault="00101CE8" w:rsidP="00EE071E">
      <w:r>
        <w:t>The model for the Turbine is:</w:t>
      </w:r>
    </w:p>
    <w:p w:rsidR="00101CE8" w:rsidRDefault="00101CE8" w:rsidP="00EE071E"/>
    <w:p w:rsidR="00101CE8" w:rsidRPr="00101CE8" w:rsidRDefault="002E2A27"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7644DC">
          <w:rPr>
            <w:noProof/>
          </w:rPr>
          <w:t>12</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2E2A27"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7644DC">
          <w:rPr>
            <w:noProof/>
          </w:rPr>
          <w:t>13</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2E2A27"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7644DC">
          <w:rPr>
            <w:noProof/>
          </w:rPr>
          <w:t>14</w:t>
        </w:r>
      </w:fldSimple>
      <w:bookmarkEnd w:id="21"/>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2E2A27"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7644DC">
          <w:rPr>
            <w:noProof/>
          </w:rPr>
          <w:t>15</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2E2A27"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7644DC">
          <w:rPr>
            <w:noProof/>
          </w:rPr>
          <w:t>16</w:t>
        </w:r>
      </w:fldSimple>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2E2A27"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7644DC">
          <w:rPr>
            <w:noProof/>
          </w:rPr>
          <w:t>17</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lastRenderedPageBreak/>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2E2A27"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7644DC">
          <w:rPr>
            <w:noProof/>
          </w:rPr>
          <w:t>18</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2E2A27"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7644DC">
          <w:rPr>
            <w:noProof/>
          </w:rPr>
          <w:t>19</w:t>
        </w:r>
      </w:fldSimple>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2E2A27"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7644DC">
          <w:rPr>
            <w:noProof/>
          </w:rPr>
          <w:t>20</w:t>
        </w:r>
      </w:fldSimple>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9A5238" w:rsidRDefault="009A5238" w:rsidP="00DE48AC"/>
    <w:p w:rsidR="009A5238" w:rsidRPr="00E552A3" w:rsidRDefault="002E2A27"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2E2A27"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7644DC">
          <w:rPr>
            <w:noProof/>
          </w:rPr>
          <w:t>21</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7644DC">
          <w:rPr>
            <w:noProof/>
          </w:rPr>
          <w:t>22</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fldSimple w:instr=" SEQ Equation \* ARABIC ">
        <w:r w:rsidR="007644DC">
          <w:rPr>
            <w:noProof/>
          </w:rPr>
          <w:t>23</w:t>
        </w:r>
      </w:fldSimple>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fldSimple w:instr=" SEQ Equation \* ARABIC ">
        <w:r w:rsidR="007644DC">
          <w:rPr>
            <w:noProof/>
          </w:rPr>
          <w:t>24</w:t>
        </w:r>
      </w:fldSimple>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r>
        <w:t xml:space="preserve">Equation </w:t>
      </w:r>
      <w:fldSimple w:instr=" SEQ Equation \* ARABIC ">
        <w:r>
          <w:rPr>
            <w:noProof/>
          </w:rPr>
          <w:t>25</w:t>
        </w:r>
      </w:fldSimple>
      <w:r>
        <w:t>: Heat transfer in a heat exchanger</w:t>
      </w:r>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Pr="00FB77C0" w:rsidRDefault="00D10FE2" w:rsidP="00FB77C0"/>
    <w:p w:rsidR="00DE48AC" w:rsidRDefault="00DE48AC" w:rsidP="00DE48AC">
      <w:pPr>
        <w:pStyle w:val="Heading2"/>
      </w:pPr>
      <w:bookmarkStart w:id="26" w:name="_Toc10044663"/>
      <w:r>
        <w:t>Test case</w:t>
      </w:r>
      <w:bookmarkEnd w:id="26"/>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D46433" w:rsidRDefault="00D46433" w:rsidP="00D46433">
      <w:pPr>
        <w:pStyle w:val="Caption"/>
        <w:jc w:val="center"/>
      </w:pPr>
      <w:r>
        <w:t xml:space="preserve">Table </w:t>
      </w:r>
      <w:fldSimple w:instr=" SEQ Table \* ARABIC ">
        <w:r w:rsidR="006D72DA">
          <w:rPr>
            <w:noProof/>
          </w:rPr>
          <w:t>3</w:t>
        </w:r>
      </w:fldSimple>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5E72B59A" wp14:editId="32C03C88">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A75CE0C" wp14:editId="60E6E7E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6D72DA">
          <w:rPr>
            <w:noProof/>
          </w:rPr>
          <w:t>8</w:t>
        </w:r>
      </w:fldSimple>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FE6D7A" w:rsidRDefault="00FE6D7A" w:rsidP="00FE6D7A">
      <w:pPr>
        <w:pStyle w:val="Caption"/>
        <w:jc w:val="center"/>
      </w:pPr>
      <w:r>
        <w:t xml:space="preserve">Table </w:t>
      </w:r>
      <w:fldSimple w:instr=" SEQ Table \* ARABIC ">
        <w:r w:rsidR="006D72DA">
          <w:rPr>
            <w:noProof/>
          </w:rPr>
          <w:t>4</w:t>
        </w:r>
      </w:fldSimple>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05AA7608" wp14:editId="57DD2A71">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0972554A" wp14:editId="3BDB9C17">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6D72DA">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9CA170" wp14:editId="5AD9636D">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fldSimple w:instr=" SEQ Figure \* ARABIC ">
        <w:r w:rsidR="006D72DA">
          <w:rPr>
            <w:noProof/>
          </w:rPr>
          <w:t>10</w:t>
        </w:r>
      </w:fldSimple>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lastRenderedPageBreak/>
        <w:drawing>
          <wp:inline distT="0" distB="0" distL="0" distR="0" wp14:anchorId="0E84FC44" wp14:editId="22E632F5">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6D72DA">
          <w:rPr>
            <w:noProof/>
          </w:rPr>
          <w:t>11</w:t>
        </w:r>
      </w:fldSimple>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5507F005" wp14:editId="2346630F">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6D72DA">
          <w:rPr>
            <w:noProof/>
          </w:rPr>
          <w:t>12</w:t>
        </w:r>
      </w:fldSimple>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27" w:name="_Toc10044665"/>
      <w:r>
        <w:t>Working fluid</w:t>
      </w:r>
      <w:bookmarkEnd w:id="27"/>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85170D" w:rsidRDefault="0085170D" w:rsidP="0085170D"/>
    <w:p w:rsidR="0085170D" w:rsidRPr="0085170D" w:rsidRDefault="0085170D" w:rsidP="0085170D">
      <w:bookmarkStart w:id="28" w:name="_GoBack"/>
      <w:bookmarkEnd w:id="28"/>
    </w:p>
    <w:p w:rsidR="00AA2CA9" w:rsidRDefault="00AA2CA9" w:rsidP="00AA2CA9">
      <w:pPr>
        <w:jc w:val="left"/>
        <w:rPr>
          <w:rFonts w:eastAsiaTheme="majorEastAsia" w:cstheme="majorBidi"/>
          <w:b/>
          <w:sz w:val="32"/>
          <w:szCs w:val="32"/>
        </w:rPr>
      </w:pPr>
      <w:r>
        <w:lastRenderedPageBreak/>
        <w:br w:type="page"/>
      </w:r>
    </w:p>
    <w:p w:rsidR="00AA2CA9" w:rsidRDefault="00AA2CA9" w:rsidP="00AA2CA9">
      <w:pPr>
        <w:pStyle w:val="Heading1"/>
      </w:pPr>
      <w:bookmarkStart w:id="29" w:name="_Toc10044668"/>
      <w:r>
        <w:lastRenderedPageBreak/>
        <w:t>Experimental design</w:t>
      </w:r>
      <w:bookmarkEnd w:id="29"/>
    </w:p>
    <w:p w:rsidR="00AA2CA9" w:rsidRDefault="00AA2CA9" w:rsidP="00AA2CA9">
      <w:r>
        <w:t>Some of the parameters of the system cannot be independent for each of the subsystems. The parameter that is necessarily shared by all subsystems is the working fluid and the mass flow rate of the working fluid.</w:t>
      </w:r>
    </w:p>
    <w:p w:rsidR="00F707BE" w:rsidRDefault="00F707BE" w:rsidP="00AA2CA9"/>
    <w:p w:rsidR="00F707BE" w:rsidRDefault="00F707BE" w:rsidP="00AA2CA9">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EndPr/>
        <w:sdtContent>
          <w:r w:rsidR="001C36A8">
            <w:fldChar w:fldCharType="begin"/>
          </w:r>
          <w:r>
            <w:instrText xml:space="preserve"> CITATION Dan12 \l 1033 </w:instrText>
          </w:r>
          <w:r w:rsidR="001C36A8">
            <w:fldChar w:fldCharType="separate"/>
          </w:r>
          <w:r w:rsidR="006D72DA" w:rsidRPr="006D72DA">
            <w:rPr>
              <w:noProof/>
            </w:rPr>
            <w:t>[5]</w:t>
          </w:r>
          <w:r w:rsidR="001C36A8">
            <w:fldChar w:fldCharType="end"/>
          </w:r>
        </w:sdtContent>
      </w:sdt>
      <w:r w:rsidR="00BB28CE">
        <w:t xml:space="preserve"> Another source used R227ea as a working fluid which was observed to have an electric efficiency of 4.88% </w:t>
      </w:r>
      <w:sdt>
        <w:sdtPr>
          <w:id w:val="1622722630"/>
          <w:citation/>
        </w:sdtPr>
        <w:sdtEndPr/>
        <w:sdtContent>
          <w:r w:rsidR="001C36A8">
            <w:fldChar w:fldCharType="begin"/>
          </w:r>
          <w:r w:rsidR="00BB28CE">
            <w:instrText xml:space="preserve"> CITATION Seo16 \l 1033 </w:instrText>
          </w:r>
          <w:r w:rsidR="001C36A8">
            <w:fldChar w:fldCharType="separate"/>
          </w:r>
          <w:r w:rsidR="006D72DA" w:rsidRPr="006D72DA">
            <w:rPr>
              <w:noProof/>
            </w:rPr>
            <w:t>[4]</w:t>
          </w:r>
          <w:r w:rsidR="001C36A8">
            <w:fldChar w:fldCharType="end"/>
          </w:r>
        </w:sdtContent>
      </w:sdt>
    </w:p>
    <w:p w:rsidR="00F707BE" w:rsidRDefault="00F707BE" w:rsidP="00AA2CA9"/>
    <w:p w:rsidR="00F707BE" w:rsidRPr="00F707BE" w:rsidRDefault="00F707BE" w:rsidP="00AA2CA9">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t>
      </w:r>
      <w:r w:rsidR="0087241C">
        <w:t>-</w:t>
      </w:r>
      <w:r>
        <w:t>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AA2CA9" w:rsidRPr="00D029BE" w:rsidRDefault="00AA2CA9" w:rsidP="00AA2CA9"/>
    <w:p w:rsidR="00AA2CA9" w:rsidRDefault="00AA2CA9" w:rsidP="00AA2CA9">
      <w:pPr>
        <w:pStyle w:val="Heading2"/>
      </w:pPr>
      <w:bookmarkStart w:id="30" w:name="_Toc10044669"/>
      <w:r>
        <w:t>Boiler factors</w:t>
      </w:r>
      <w:bookmarkEnd w:id="30"/>
    </w:p>
    <w:p w:rsidR="00410180" w:rsidRDefault="00AA2CA9" w:rsidP="00AA2CA9">
      <w:r>
        <w:t>In addition to the working pressure and temperature of the boiler, mass flow rates of the heat source, the working fluid from the automobile’s cooling system, and of</w:t>
      </w:r>
      <w:r w:rsidR="00172E17">
        <w:t xml:space="preserve"> the vapor power system can</w:t>
      </w:r>
      <w:r>
        <w:t xml:space="preserve"> be manipulated to increase the rate of heat transfer. The interaction surface area of the heat exchanger can also be manipulated.</w:t>
      </w:r>
      <w:r w:rsidR="00410180">
        <w:t xml:space="preserve"> Some of these factors are much easier to manipulate than others. So, while the model will be developed such that any relevant parameter can be manipulated, this study will focus on the results of changing those that make the most practical and economic sense. </w:t>
      </w:r>
    </w:p>
    <w:p w:rsidR="00410180" w:rsidRDefault="00410180" w:rsidP="00AA2CA9"/>
    <w:p w:rsidR="00410180" w:rsidRDefault="00410180" w:rsidP="00AA2CA9">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w:t>
      </w:r>
      <w:r w:rsidR="00172E17">
        <w:t xml:space="preserve"> given temperature over which designers</w:t>
      </w:r>
      <w:r>
        <w:t xml:space="preserve"> have very little control.</w:t>
      </w:r>
    </w:p>
    <w:p w:rsidR="00410180" w:rsidRDefault="00410180" w:rsidP="00AA2CA9"/>
    <w:p w:rsidR="00AA2CA9" w:rsidRDefault="00410180" w:rsidP="00AA2CA9">
      <w:r>
        <w:t>The factor that does make sense to manipulate is the operating pressure. And to that end, preliminary results have been included to demonstrate the design space that exists for this application.</w:t>
      </w:r>
      <w:r w:rsidR="006376B3">
        <w:t xml:space="preserve"> </w:t>
      </w:r>
    </w:p>
    <w:p w:rsidR="00AA2CA9" w:rsidRPr="00141E9E" w:rsidRDefault="00AA2CA9" w:rsidP="00AA2CA9"/>
    <w:p w:rsidR="00AA2CA9" w:rsidRDefault="00AA2CA9" w:rsidP="00AA2CA9">
      <w:pPr>
        <w:pStyle w:val="Heading2"/>
      </w:pPr>
      <w:bookmarkStart w:id="31" w:name="_Toc10044670"/>
      <w:r>
        <w:lastRenderedPageBreak/>
        <w:t>Turbine factors</w:t>
      </w:r>
      <w:bookmarkEnd w:id="31"/>
    </w:p>
    <w:p w:rsidR="00AA2CA9" w:rsidRDefault="00AA2CA9" w:rsidP="00AA2CA9">
      <w:r>
        <w:t>The number of stages, and turbine blade size, shape, and angle can all be manipulated to affect the efficiency of the turbine. The type of cycle in this case, the organic Rankine cycle, also has a large effect on the efficiency of this component of the system.</w:t>
      </w:r>
    </w:p>
    <w:p w:rsidR="00A76AC4" w:rsidRDefault="00A76AC4" w:rsidP="00AA2CA9"/>
    <w:p w:rsidR="00A76AC4" w:rsidRDefault="00A76AC4" w:rsidP="00AA2CA9">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A76AC4" w:rsidRDefault="00A76AC4" w:rsidP="00AA2CA9"/>
    <w:p w:rsidR="00A76AC4" w:rsidRDefault="00A76AC4" w:rsidP="00AA2CA9">
      <w:r>
        <w:t>These reasons make the turbine design an area in which there is not a lot of interesting work to be done</w:t>
      </w:r>
      <w:r w:rsidR="00172E17">
        <w:t xml:space="preserve"> in this project</w:t>
      </w:r>
      <w:r>
        <w:t>. Because of this, it will not be a subject that receives much specific attention in this study.</w:t>
      </w:r>
    </w:p>
    <w:p w:rsidR="00AA2CA9" w:rsidRPr="00141E9E" w:rsidRDefault="00AA2CA9" w:rsidP="00AA2CA9"/>
    <w:p w:rsidR="00AA2CA9" w:rsidRDefault="00AA2CA9" w:rsidP="00AA2CA9">
      <w:pPr>
        <w:pStyle w:val="Heading2"/>
      </w:pPr>
      <w:bookmarkStart w:id="32" w:name="_Toc10044671"/>
      <w:r>
        <w:t>Condenser factors</w:t>
      </w:r>
      <w:bookmarkEnd w:id="32"/>
    </w:p>
    <w:p w:rsidR="00AA2CA9" w:rsidRDefault="00AA2CA9" w:rsidP="00AA2CA9">
      <w:r>
        <w:t xml:space="preserve">In addition to the working pressure and temperature of the condenser, the mass flow rate of the </w:t>
      </w:r>
      <w:r w:rsidR="00172E17">
        <w:t>heat sink</w:t>
      </w:r>
      <w:r>
        <w:t xml:space="preserve"> can be manipulated</w:t>
      </w:r>
      <w:r w:rsidR="00172E17">
        <w:t>; though t</w:t>
      </w:r>
      <w:r>
        <w:t>he mass flow rate of the heat sink,</w:t>
      </w:r>
      <w:r w:rsidR="00172E17">
        <w:t xml:space="preserve"> in this case</w:t>
      </w:r>
      <w:r>
        <w:t xml:space="preserve"> the ambient air, is harder to manipulate. The interaction surface area of the heat exchanger can also be manipulated.</w:t>
      </w:r>
    </w:p>
    <w:p w:rsidR="00AA2CA9" w:rsidRDefault="00AA2CA9" w:rsidP="00AA2CA9"/>
    <w:p w:rsidR="00AA2CA9" w:rsidRDefault="00AA2CA9" w:rsidP="00AA2CA9">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1944E1" w:rsidRDefault="001944E1" w:rsidP="00AA2CA9"/>
    <w:p w:rsidR="001944E1" w:rsidRDefault="001944E1" w:rsidP="00AA2CA9">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1944E1" w:rsidRDefault="001944E1" w:rsidP="00AA2CA9"/>
    <w:p w:rsidR="001944E1" w:rsidRDefault="001944E1" w:rsidP="00AA2CA9">
      <w:r>
        <w:t>As a result the parameter that is of interest to this study is primarily that of working pressure of the condenser and to that end the preliminary results contain the likely design space for this application.</w:t>
      </w:r>
    </w:p>
    <w:p w:rsidR="00AA2CA9" w:rsidRPr="00141E9E" w:rsidRDefault="00AA2CA9" w:rsidP="00AA2CA9"/>
    <w:p w:rsidR="00AA2CA9" w:rsidRDefault="00AA2CA9" w:rsidP="00AA2CA9">
      <w:pPr>
        <w:pStyle w:val="Heading2"/>
      </w:pPr>
      <w:bookmarkStart w:id="33" w:name="_Toc10044672"/>
      <w:r>
        <w:t>Pump factors</w:t>
      </w:r>
      <w:bookmarkEnd w:id="33"/>
    </w:p>
    <w:p w:rsidR="00AA2CA9" w:rsidRDefault="00AA2CA9" w:rsidP="00AA2CA9">
      <w:r>
        <w:t xml:space="preserve">The pump working pressure can be manipulated, and it may be possible to drive the pump directly with mechanical energy from the turbine shaft rather than electrically which could </w:t>
      </w:r>
      <w:r>
        <w:lastRenderedPageBreak/>
        <w:t>represent some efficiency gains. This area is also of particular interest to GHSP as they design and manufacture pumps currently and can be considered experts in this area.</w:t>
      </w:r>
    </w:p>
    <w:p w:rsidR="00554CD3" w:rsidRDefault="00554CD3" w:rsidP="00AA2CA9"/>
    <w:p w:rsidR="00554CD3" w:rsidRPr="007712AE" w:rsidRDefault="00554CD3" w:rsidP="00AA2CA9">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DC22E8" w:rsidRDefault="00DC22E8">
      <w:pPr>
        <w:jc w:val="left"/>
      </w:pPr>
      <w:r>
        <w:br w:type="page"/>
      </w:r>
    </w:p>
    <w:bookmarkStart w:id="34"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4"/>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w:t>
                    </w:r>
                    <w:r>
                      <w:rPr>
                        <w:noProof/>
                      </w:rPr>
                      <w:lastRenderedPageBreak/>
                      <w:t>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7464EE" w:rsidRDefault="007464EE">
      <w:pPr>
        <w:jc w:val="left"/>
        <w:rPr>
          <w:rFonts w:eastAsiaTheme="majorEastAsia" w:cstheme="majorBidi"/>
          <w:b/>
          <w:sz w:val="32"/>
          <w:szCs w:val="32"/>
        </w:rPr>
      </w:pPr>
      <w:r>
        <w:br w:type="page"/>
      </w:r>
    </w:p>
    <w:p w:rsidR="00135124" w:rsidRDefault="00DA6ED3" w:rsidP="00DA6ED3">
      <w:pPr>
        <w:pStyle w:val="Heading1"/>
      </w:pPr>
      <w:bookmarkStart w:id="35" w:name="_Toc10044674"/>
      <w:r>
        <w:lastRenderedPageBreak/>
        <w:t>Appendix A – Acronyms</w:t>
      </w:r>
      <w:bookmarkEnd w:id="35"/>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6" w:name="_Toc10044675"/>
      <w:r>
        <w:lastRenderedPageBreak/>
        <w:t>Glossary</w:t>
      </w:r>
      <w:bookmarkEnd w:id="36"/>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7" w:name="_Ref531105537"/>
      <w:bookmarkStart w:id="38" w:name="_Toc10044676"/>
      <w:r>
        <w:lastRenderedPageBreak/>
        <w:t>Appendix C – Source Code</w:t>
      </w:r>
      <w:bookmarkEnd w:id="37"/>
      <w:bookmarkEnd w:id="38"/>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B8146F" w:rsidRDefault="00B8146F" w:rsidP="00B8146F">
      <w:pPr>
        <w:pStyle w:val="Heading2"/>
      </w:pPr>
      <w:r>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lastRenderedPageBreak/>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lastRenderedPageBreak/>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lastRenderedPageBreak/>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B8146F" w:rsidRDefault="00B8146F" w:rsidP="00B8146F">
      <w:pPr>
        <w:pStyle w:val="Heading2"/>
      </w:pPr>
      <w:r>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lastRenderedPageBreak/>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p>
    <w:p w:rsidR="00B8146F" w:rsidRDefault="00B8146F" w:rsidP="00B8146F">
      <w:pPr>
        <w:pStyle w:val="Heading2"/>
      </w:pPr>
      <w:r>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lastRenderedPageBreak/>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lastRenderedPageBreak/>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lastRenderedPageBreak/>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lastRenderedPageBreak/>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lastRenderedPageBreak/>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lastRenderedPageBreak/>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lastRenderedPageBreak/>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lastRenderedPageBreak/>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lastRenderedPageBreak/>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t xml:space="preserve">    </w:t>
      </w:r>
      <w:proofErr w:type="gramStart"/>
      <w:r>
        <w:t>return(</w:t>
      </w:r>
      <w:proofErr w:type="gramEnd"/>
      <w:r>
        <w:t>radius)</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A27" w:rsidRDefault="002E2A27" w:rsidP="004D294E">
      <w:pPr>
        <w:spacing w:line="240" w:lineRule="auto"/>
      </w:pPr>
      <w:r>
        <w:separator/>
      </w:r>
    </w:p>
  </w:endnote>
  <w:endnote w:type="continuationSeparator" w:id="0">
    <w:p w:rsidR="002E2A27" w:rsidRDefault="002E2A27"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A27" w:rsidRDefault="002E2A27" w:rsidP="004D294E">
      <w:pPr>
        <w:spacing w:line="240" w:lineRule="auto"/>
      </w:pPr>
      <w:r>
        <w:separator/>
      </w:r>
    </w:p>
  </w:footnote>
  <w:footnote w:type="continuationSeparator" w:id="0">
    <w:p w:rsidR="002E2A27" w:rsidRDefault="002E2A27" w:rsidP="004D294E">
      <w:pPr>
        <w:spacing w:line="240" w:lineRule="auto"/>
      </w:pPr>
      <w:r>
        <w:continuationSeparator/>
      </w:r>
    </w:p>
  </w:footnote>
  <w:footnote w:id="1">
    <w:p w:rsidR="00672BE4" w:rsidRDefault="00672BE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672BE4" w:rsidRDefault="00672BE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E4" w:rsidRDefault="00672BE4" w:rsidP="004D294E">
    <w:pPr>
      <w:pStyle w:val="Header"/>
      <w:jc w:val="right"/>
    </w:pPr>
    <w:r>
      <w:t xml:space="preserve">Clapp | </w:t>
    </w:r>
    <w:r>
      <w:fldChar w:fldCharType="begin"/>
    </w:r>
    <w:r>
      <w:instrText xml:space="preserve"> PAGE   \* MERGEFORMAT </w:instrText>
    </w:r>
    <w:r>
      <w:fldChar w:fldCharType="separate"/>
    </w:r>
    <w:r w:rsidR="0085170D">
      <w:rPr>
        <w:noProof/>
      </w:rPr>
      <w:t>28</w:t>
    </w:r>
    <w:r>
      <w:rPr>
        <w:noProof/>
      </w:rPr>
      <w:fldChar w:fldCharType="end"/>
    </w:r>
    <w:r>
      <w:t xml:space="preserve"> of </w:t>
    </w:r>
    <w:fldSimple w:instr=" NUMPAGES   \* MERGEFORMAT ">
      <w:r w:rsidR="0085170D">
        <w:rPr>
          <w:noProof/>
        </w:rPr>
        <w:t>58</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102"/>
    <w:rsid w:val="002B5C60"/>
    <w:rsid w:val="002C56A3"/>
    <w:rsid w:val="002E118C"/>
    <w:rsid w:val="002E2A27"/>
    <w:rsid w:val="002E4F89"/>
    <w:rsid w:val="002F629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20F98"/>
    <w:rsid w:val="0043177A"/>
    <w:rsid w:val="00444FE1"/>
    <w:rsid w:val="00447453"/>
    <w:rsid w:val="00447EDF"/>
    <w:rsid w:val="00454E70"/>
    <w:rsid w:val="00465ABF"/>
    <w:rsid w:val="00472758"/>
    <w:rsid w:val="00476BC1"/>
    <w:rsid w:val="004861C4"/>
    <w:rsid w:val="00491A2A"/>
    <w:rsid w:val="00496A12"/>
    <w:rsid w:val="004A099E"/>
    <w:rsid w:val="004B656C"/>
    <w:rsid w:val="004B6FAB"/>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867DA"/>
    <w:rsid w:val="00CA438D"/>
    <w:rsid w:val="00CA4CFB"/>
    <w:rsid w:val="00CB5BC6"/>
    <w:rsid w:val="00CC0530"/>
    <w:rsid w:val="00CC09AA"/>
    <w:rsid w:val="00CC4BDF"/>
    <w:rsid w:val="00CD7905"/>
    <w:rsid w:val="00CE0173"/>
    <w:rsid w:val="00CE270B"/>
    <w:rsid w:val="00D029BE"/>
    <w:rsid w:val="00D10FE2"/>
    <w:rsid w:val="00D23953"/>
    <w:rsid w:val="00D37E20"/>
    <w:rsid w:val="00D44B7A"/>
    <w:rsid w:val="00D46433"/>
    <w:rsid w:val="00D50D5E"/>
    <w:rsid w:val="00D67586"/>
    <w:rsid w:val="00D72EB4"/>
    <w:rsid w:val="00D776D1"/>
    <w:rsid w:val="00D849AF"/>
    <w:rsid w:val="00D85DFC"/>
    <w:rsid w:val="00D945BE"/>
    <w:rsid w:val="00DA1B96"/>
    <w:rsid w:val="00DA6ED3"/>
    <w:rsid w:val="00DB194C"/>
    <w:rsid w:val="00DB4169"/>
    <w:rsid w:val="00DC22E8"/>
    <w:rsid w:val="00DD6083"/>
    <w:rsid w:val="00DE48AC"/>
    <w:rsid w:val="00DE661A"/>
    <w:rsid w:val="00DE69C4"/>
    <w:rsid w:val="00DF32B5"/>
    <w:rsid w:val="00DF66D1"/>
    <w:rsid w:val="00DF6C5F"/>
    <w:rsid w:val="00E02A77"/>
    <w:rsid w:val="00E047A1"/>
    <w:rsid w:val="00E122B2"/>
    <w:rsid w:val="00E12650"/>
    <w:rsid w:val="00E13F30"/>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6BB07B35-E010-4AB1-9D5A-FF4AF1D0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58</Pages>
  <Words>12110</Words>
  <Characters>69029</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113</cp:revision>
  <cp:lastPrinted>2019-02-16T17:14:00Z</cp:lastPrinted>
  <dcterms:created xsi:type="dcterms:W3CDTF">2019-03-06T22:12:00Z</dcterms:created>
  <dcterms:modified xsi:type="dcterms:W3CDTF">2019-06-19T21:33:00Z</dcterms:modified>
</cp:coreProperties>
</file>