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华东区域 Q2 渠道经营简报</w:t>
      </w:r>
    </w:p>
    <w:p>
      <w:r>
        <w:t>本简报用于 OpenAtlas 企业试点演示, 模拟管理层在经营例会前上传的业务材料。</w:t>
      </w:r>
    </w:p>
    <w:p>
      <w:pPr>
        <w:pStyle w:val="Heading2"/>
      </w:pPr>
      <w:r>
        <w:t>一、关键数据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1280 万元</w:t>
            </w:r>
          </w:p>
        </w:tc>
        <w:tc>
          <w:tcPr>
            <w:tcW w:type="dxa" w:w="2160"/>
          </w:tcPr>
          <w:p>
            <w:r>
              <w:t>1510 万元</w:t>
            </w:r>
          </w:p>
        </w:tc>
        <w:tc>
          <w:tcPr>
            <w:tcW w:type="dxa" w:w="2160"/>
          </w:tcPr>
          <w:p>
            <w:r>
              <w:t>+18%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41%</w:t>
            </w:r>
          </w:p>
        </w:tc>
        <w:tc>
          <w:tcPr>
            <w:tcW w:type="dxa" w:w="2160"/>
          </w:tcPr>
          <w:p>
            <w:r>
              <w:t>37%</w:t>
            </w:r>
          </w:p>
        </w:tc>
        <w:tc>
          <w:tcPr>
            <w:tcW w:type="dxa" w:w="2160"/>
          </w:tcPr>
          <w:p>
            <w:r>
              <w:t>-4pp</w:t>
            </w:r>
          </w:p>
        </w:tc>
      </w:tr>
      <w:tr>
        <w:tc>
          <w:tcPr>
            <w:tcW w:type="dxa" w:w="2160"/>
          </w:tcPr>
          <w:p>
            <w:r>
              <w:t>渠道投诉</w:t>
            </w:r>
          </w:p>
        </w:tc>
        <w:tc>
          <w:tcPr>
            <w:tcW w:type="dxa" w:w="2160"/>
          </w:tcPr>
          <w:p>
            <w:r>
              <w:t>18 起</w:t>
            </w:r>
          </w:p>
        </w:tc>
        <w:tc>
          <w:tcPr>
            <w:tcW w:type="dxa" w:w="2160"/>
          </w:tcPr>
          <w:p>
            <w:r>
              <w:t>46 起</w:t>
            </w:r>
          </w:p>
        </w:tc>
        <w:tc>
          <w:tcPr>
            <w:tcW w:type="dxa" w:w="2160"/>
          </w:tcPr>
          <w:p>
            <w:r>
              <w:t>+156%</w:t>
            </w:r>
          </w:p>
        </w:tc>
      </w:tr>
      <w:tr>
        <w:tc>
          <w:tcPr>
            <w:tcW w:type="dxa" w:w="2160"/>
          </w:tcPr>
          <w:p>
            <w:r>
              <w:t>重点客户续约率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-6pp</w:t>
            </w:r>
          </w:p>
        </w:tc>
      </w:tr>
      <w:tr>
        <w:tc>
          <w:tcPr>
            <w:tcW w:type="dxa" w:w="2160"/>
          </w:tcPr>
          <w:p>
            <w:r>
              <w:t>低毛利渠道包占比</w:t>
            </w:r>
          </w:p>
        </w:tc>
        <w:tc>
          <w:tcPr>
            <w:tcW w:type="dxa" w:w="2160"/>
          </w:tcPr>
          <w:p>
            <w:r>
              <w:t>23%</w:t>
            </w:r>
          </w:p>
        </w:tc>
        <w:tc>
          <w:tcPr>
            <w:tcW w:type="dxa" w:w="2160"/>
          </w:tcPr>
          <w:p>
            <w:r>
              <w:t>39%</w:t>
            </w:r>
          </w:p>
        </w:tc>
        <w:tc>
          <w:tcPr>
            <w:tcW w:type="dxa" w:w="2160"/>
          </w:tcPr>
          <w:p>
            <w:r>
              <w:t>+16pp</w:t>
            </w:r>
          </w:p>
        </w:tc>
      </w:tr>
    </w:tbl>
    <w:p>
      <w:pPr>
        <w:pStyle w:val="Heading2"/>
      </w:pPr>
      <w:r>
        <w:t>二、管理层关注</w:t>
      </w:r>
    </w:p>
    <w:p>
      <w:pPr>
        <w:pStyle w:val="ListBullet"/>
      </w:pPr>
      <w:r>
        <w:t>收入增长主要来自低毛利渠道包, 折扣审批链路不清晰。</w:t>
      </w:r>
    </w:p>
    <w:p>
      <w:pPr>
        <w:pStyle w:val="ListBullet"/>
      </w:pPr>
      <w:r>
        <w:t>渠道投诉集中在交付延期和售后响应, 涉及 A/B 两家代理商。</w:t>
      </w:r>
    </w:p>
    <w:p>
      <w:pPr>
        <w:pStyle w:val="ListBullet"/>
      </w:pPr>
      <w:r>
        <w:t>重点客户续约率下降, 与投诉上升和交付 SLA 不稳定相关。</w:t>
      </w:r>
    </w:p>
    <w:p>
      <w:pPr>
        <w:pStyle w:val="ListBullet"/>
      </w:pPr>
      <w:r>
        <w:t>建议下季度前完成渠道分级、折扣红线和投诉 SLA 复盘。</w:t>
      </w:r>
    </w:p>
    <w:p>
      <w:pPr>
        <w:pStyle w:val="Heading2"/>
      </w:pPr>
      <w:r>
        <w:t>三、待确认事项</w:t>
      </w:r>
    </w:p>
    <w:p>
      <w:pPr>
        <w:pStyle w:val="ListNumber"/>
      </w:pPr>
      <w:r>
        <w:t>是否将 A 代理商纳入重点整改名单。</w:t>
      </w:r>
    </w:p>
    <w:p>
      <w:pPr>
        <w:pStyle w:val="ListNumber"/>
      </w:pPr>
      <w:r>
        <w:t>是否冻结 B 代理商新增项目。</w:t>
      </w:r>
    </w:p>
    <w:p>
      <w:pPr>
        <w:pStyle w:val="ListNumber"/>
      </w:pPr>
      <w:r>
        <w:t>低于 85 折项目是否必须经过财务和区域负责人双审批。</w:t>
      </w:r>
    </w:p>
    <w:p>
      <w:pPr>
        <w:pStyle w:val="ListNumber"/>
      </w:pPr>
      <w:r>
        <w:t>投诉闭环率是否纳入下季度渠道评级。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