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Times New Roman" w:cs="Times New Roman" w:eastAsia="Times New Roman" w:hAnsi="Times New Roman"/>
          <w:b/>
          <w:bCs/>
          <w:sz w:val="28"/>
          <w:szCs w:val="28"/>
        </w:rPr>
        <w:t xml:space="preserve">Software Requirements and System Design</w:t>
      </w:r>
    </w:p>
    <w:p>
      <w:pPr>
        <w:spacing w:after="200" w:line="360"/>
        <w:jc w:val="both"/>
      </w:pPr>
      <w:r>
        <w:rPr>
          <w:rFonts w:ascii="Times New Roman" w:cs="Times New Roman" w:eastAsia="Times New Roman" w:hAnsi="Times New Roman"/>
          <w:sz w:val="24"/>
          <w:szCs w:val="24"/>
        </w:rPr>
        <w:t xml:space="preserve">This section identifies the software components required to implement the Signyales system, organized by the physical layer on which each component runs. The system is composed of four cooperating software layers: glove-node firmware, receiver-dongle firmware, central hub software on the Raspberry Pi 5, and an offline machine learning development pipeline used to produce the TinyML model deployed at runtime. Each layer is described below, followed by a consolidated software requirements matrix.</w:t>
      </w:r>
    </w:p>
    <w:p>
      <w:pPr>
        <w:spacing w:after="200" w:before="300"/>
      </w:pPr>
      <w:r>
        <w:rPr>
          <w:rFonts w:ascii="Times New Roman" w:cs="Times New Roman" w:eastAsia="Times New Roman" w:hAnsi="Times New Roman"/>
          <w:b/>
          <w:bCs/>
          <w:sz w:val="26"/>
          <w:szCs w:val="26"/>
        </w:rPr>
        <w:t xml:space="preserve">1. Glove Node Firmware (ESP32-S3, ×2)</w:t>
      </w:r>
    </w:p>
    <w:p>
      <w:pPr>
        <w:spacing w:after="200" w:line="360"/>
        <w:jc w:val="both"/>
      </w:pPr>
      <w:r>
        <w:rPr>
          <w:rFonts w:ascii="Times New Roman" w:cs="Times New Roman" w:eastAsia="Times New Roman" w:hAnsi="Times New Roman"/>
          <w:sz w:val="24"/>
          <w:szCs w:val="24"/>
        </w:rPr>
        <w:t xml:space="preserve">Each of the two wearable units requires embedded firmware responsible for reading raw sensor data and transmitting it wirelessly to the receiver dongle. This firmware constitutes the first stage of the data pipeline and directly determines the fidelity of the gesture data available to the recognition model downstream.</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Sensor sampling routines for the flex sensors (finger bend/handshape) and the accelerometer/IMU (hand orientation and motion), read via the ESP32-S3's ADC and I2C/SPI peripherals.</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Signal conditioning logic (debouncing and noise smoothing) applied before transmission, to reduce jitter introduced by raw ADC readings.</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ESP-NOW packet construction and transmission, including a defined payload structure for bimanual sensor data.</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Power management routines (sleep/wake cycling) to extend operating time on the glove's battery supply.</w:t>
      </w:r>
    </w:p>
    <w:p>
      <w:pPr>
        <w:spacing w:after="200" w:line="360"/>
        <w:jc w:val="both"/>
      </w:pPr>
      <w:r>
        <w:rPr>
          <w:rFonts w:ascii="Times New Roman" w:cs="Times New Roman" w:eastAsia="Times New Roman" w:hAnsi="Times New Roman"/>
          <w:sz w:val="24"/>
          <w:szCs w:val="24"/>
        </w:rPr>
        <w:t xml:space="preserve">Recommended development environment: Arduino IDE or PlatformIO with the ESP-IDF framework, written in Embedded C++.</w:t>
      </w:r>
    </w:p>
    <w:p>
      <w:pPr>
        <w:spacing w:after="200" w:before="300"/>
      </w:pPr>
      <w:r>
        <w:rPr>
          <w:rFonts w:ascii="Times New Roman" w:cs="Times New Roman" w:eastAsia="Times New Roman" w:hAnsi="Times New Roman"/>
          <w:b/>
          <w:bCs/>
          <w:sz w:val="26"/>
          <w:szCs w:val="26"/>
        </w:rPr>
        <w:t xml:space="preserve">2. Receiver Dongle Firmware (ESP32)</w:t>
      </w:r>
    </w:p>
    <w:p>
      <w:pPr>
        <w:spacing w:after="200" w:line="360"/>
        <w:jc w:val="both"/>
      </w:pPr>
      <w:r>
        <w:rPr>
          <w:rFonts w:ascii="Times New Roman" w:cs="Times New Roman" w:eastAsia="Times New Roman" w:hAnsi="Times New Roman"/>
          <w:sz w:val="24"/>
          <w:szCs w:val="24"/>
        </w:rPr>
        <w:t xml:space="preserve">The receiver dongle bridges the wireless glove network and the wired connection to the Raspberry Pi. Its firmware must reliably reconcile two independent, asynchronously-arriving data streams before forwarding a single combined stream downstream.</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ESP-NOW receive handlers for both the left-glove and right-glove transmissions.</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Packet synchronization logic to align left- and right-hand samples that may arrive with a slight timing offset, so the model receives one coherent bimanual frame.</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UART/Serial forwarding of the synchronized data to the Raspberry Pi 5.</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Basic error handling for dropped, corrupted, or out-of-order packets.</w:t>
      </w:r>
    </w:p>
    <w:p>
      <w:pPr>
        <w:spacing w:after="200" w:before="300"/>
      </w:pPr>
      <w:r>
        <w:rPr>
          <w:rFonts w:ascii="Times New Roman" w:cs="Times New Roman" w:eastAsia="Times New Roman" w:hAnsi="Times New Roman"/>
          <w:b/>
          <w:bCs/>
          <w:sz w:val="26"/>
          <w:szCs w:val="26"/>
        </w:rPr>
        <w:t xml:space="preserve">3. Central Hub Software (Raspberry Pi 5)</w:t>
      </w:r>
    </w:p>
    <w:p>
      <w:pPr>
        <w:spacing w:after="200" w:line="360"/>
        <w:jc w:val="both"/>
      </w:pPr>
      <w:r>
        <w:rPr>
          <w:rFonts w:ascii="Times New Roman" w:cs="Times New Roman" w:eastAsia="Times New Roman" w:hAnsi="Times New Roman"/>
          <w:sz w:val="24"/>
          <w:szCs w:val="24"/>
        </w:rPr>
        <w:t xml:space="preserve">The Raspberry Pi 5 is the system's central processing unit and requires the most extensive software stack, covering data ingestion, inference, translation, and speech output.</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A serial listener to ingest the UART stream from the receiver dongle and parse it into structured sensor frames.</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A TinyML inference pipeline that loads the trained, quantized model and feeds it sliding windows of live sensor data to produce gesture predictions.</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Gesture-to-text mapping logic that converts recognized handshapes/motions into corresponding Filipino Sign Language words or phrases.</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An offline text-to-speech engine (e.g., a locally-hosted lightweight neural TTS or a conventional engine such as eSpeak/Festival) to generate audio output without any dependency on cloud APIs, consistent with the project's offline-first scope.</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Minimal status feedback (e.g., console or LED-based) in place of a mobile application or graphical interface, which are explicitly excluded from the project scope.</w:t>
      </w:r>
    </w:p>
    <w:p>
      <w:pPr>
        <w:pStyle w:val="ListParagraph"/>
        <w:numPr>
          <w:ilvl w:val="0"/>
          <w:numId w:val="1"/>
        </w:numPr>
        <w:spacing w:after="120" w:line="360"/>
        <w:jc w:val="both"/>
      </w:pPr>
      <w:r>
        <w:rPr>
          <w:rFonts w:ascii="Times New Roman" w:cs="Times New Roman" w:eastAsia="Times New Roman" w:hAnsi="Times New Roman"/>
          <w:sz w:val="24"/>
          <w:szCs w:val="24"/>
        </w:rPr>
        <w:t>Scope change (October 2026): besides console output, the team added a windowed app (gui/signyales_gui.py) that shows large subtitles, speaks recognized words, records training data and can mirror the Pi's output on a laptop's screen and speakers. The team reports that the adviser approved this change. The proposal's scope text still describes console-only output and should be updated to match.</w:t>
      </w:r>
    </w:p>
    <w:p>
      <w:pPr>
        <w:spacing w:after="200" w:line="360"/>
        <w:jc w:val="both"/>
      </w:pPr>
      <w:r>
        <w:rPr>
          <w:rFonts w:ascii="Times New Roman" w:cs="Times New Roman" w:eastAsia="Times New Roman" w:hAnsi="Times New Roman"/>
          <w:sz w:val="24"/>
          <w:szCs w:val="24"/>
        </w:rPr>
        <w:t xml:space="preserve">Recommended development environment: Python 3, developed and tested in Visual Studio Code.</w:t>
      </w:r>
    </w:p>
    <w:p>
      <w:pPr>
        <w:spacing w:after="200" w:before="300"/>
      </w:pPr>
      <w:r>
        <w:rPr>
          <w:rFonts w:ascii="Times New Roman" w:cs="Times New Roman" w:eastAsia="Times New Roman" w:hAnsi="Times New Roman"/>
          <w:b/>
          <w:bCs/>
          <w:sz w:val="26"/>
          <w:szCs w:val="26"/>
        </w:rPr>
        <w:t xml:space="preserve">4. Machine Learning Development Pipeline (Offline)</w:t>
      </w:r>
    </w:p>
    <w:p>
      <w:pPr>
        <w:spacing w:after="200" w:line="360"/>
        <w:jc w:val="both"/>
      </w:pPr>
      <w:r>
        <w:rPr>
          <w:rFonts w:ascii="Times New Roman" w:cs="Times New Roman" w:eastAsia="Times New Roman" w:hAnsi="Times New Roman"/>
          <w:sz w:val="24"/>
          <w:szCs w:val="24"/>
        </w:rPr>
        <w:t xml:space="preserve">Unlike the three layers above, this software does not run at translation time. It is used beforehand to produce the trained model file that the Raspberry Pi loads for inference, and it must be revisited whenever the gesture vocabulary is expanded or the model is retrained.</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Data collection scripts to log labeled sensor sequences per gesture, forming the training dataset.</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Model training code, developed in Jupyter Notebook, using a framework such as TensorFlow/Keras.</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Model compression and optimization (quantization, pruning, and/or knowledge distillation) to fit the model within the memory and compute limits of the target hardware, using TensorFlow Lite Micro or an equivalent toolchain.</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A basic versioning workflow for trained models, since the deployed model is static once loaded and cannot adapt in real time (noted as a limitation of the study).</w:t>
      </w:r>
    </w:p>
    <w:p>
      <w:pPr>
        <w:spacing w:after="200" w:before="300"/>
      </w:pPr>
      <w:r>
        <w:rPr>
          <w:rFonts w:ascii="Times New Roman" w:cs="Times New Roman" w:eastAsia="Times New Roman" w:hAnsi="Times New Roman"/>
          <w:b/>
          <w:bCs/>
          <w:sz w:val="26"/>
          <w:szCs w:val="26"/>
        </w:rPr>
        <w:t xml:space="preserve">5. Testing, Evaluation, and Research Instrumentation</w:t>
      </w:r>
    </w:p>
    <w:p>
      <w:pPr>
        <w:spacing w:after="200" w:line="360"/>
        <w:jc w:val="both"/>
      </w:pPr>
      <w:r>
        <w:rPr>
          <w:rFonts w:ascii="Times New Roman" w:cs="Times New Roman" w:eastAsia="Times New Roman" w:hAnsi="Times New Roman"/>
          <w:sz w:val="24"/>
          <w:szCs w:val="24"/>
        </w:rPr>
        <w:t xml:space="preserve">These tools support the data-gathering and evaluation procedures described in the Research Methodology and are not part of the deployed system, but are required to produce the quantitative results reported in Chapters IV and V.</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00"/>
      </w:tblGrid>
      <w:tr>
        <w:tc>
          <w:tcPr>
            <w:tcW w:type="dxa" w:w="2600"/>
            <w:shd w:fill="D9D9D9" w:val="clear"/>
            <w:tcMar>
              <w:top w:type="dxa" w:w="80"/>
              <w:left w:type="dxa" w:w="100"/>
              <w:bottom w:type="dxa" w:w="80"/>
              <w:right w:type="dxa" w:w="100"/>
            </w:tcMar>
          </w:tcPr>
          <w:p>
            <w:r>
              <w:rPr>
                <w:rFonts w:ascii="Times New Roman" w:cs="Times New Roman" w:eastAsia="Times New Roman" w:hAnsi="Times New Roman"/>
                <w:b/>
                <w:bCs/>
                <w:sz w:val="22"/>
                <w:szCs w:val="22"/>
              </w:rPr>
              <w:t xml:space="preserve">Component</w:t>
            </w:r>
          </w:p>
        </w:tc>
        <w:tc>
          <w:tcPr>
            <w:tcW w:type="dxa" w:w="3600"/>
            <w:shd w:fill="D9D9D9" w:val="clear"/>
            <w:tcMar>
              <w:top w:type="dxa" w:w="80"/>
              <w:left w:type="dxa" w:w="100"/>
              <w:bottom w:type="dxa" w:w="80"/>
              <w:right w:type="dxa" w:w="100"/>
            </w:tcMar>
          </w:tcPr>
          <w:p>
            <w:r>
              <w:rPr>
                <w:rFonts w:ascii="Times New Roman" w:cs="Times New Roman" w:eastAsia="Times New Roman" w:hAnsi="Times New Roman"/>
                <w:b/>
                <w:bCs/>
                <w:sz w:val="22"/>
                <w:szCs w:val="22"/>
              </w:rPr>
              <w:t xml:space="preserve">Software / Tool</w:t>
            </w:r>
          </w:p>
        </w:tc>
        <w:tc>
          <w:tcPr>
            <w:tcW w:type="dxa" w:w="3400"/>
            <w:shd w:fill="D9D9D9" w:val="clear"/>
            <w:tcMar>
              <w:top w:type="dxa" w:w="80"/>
              <w:left w:type="dxa" w:w="100"/>
              <w:bottom w:type="dxa" w:w="80"/>
              <w:right w:type="dxa" w:w="100"/>
            </w:tcMar>
          </w:tcPr>
          <w:p>
            <w:r>
              <w:rPr>
                <w:rFonts w:ascii="Times New Roman" w:cs="Times New Roman" w:eastAsia="Times New Roman" w:hAnsi="Times New Roman"/>
                <w:b/>
                <w:bCs/>
                <w:sz w:val="22"/>
                <w:szCs w:val="22"/>
              </w:rPr>
              <w:t xml:space="preserve">Purpose</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Data collection</w:t>
            </w:r>
          </w:p>
        </w:tc>
        <w:tc>
          <w:tcPr>
            <w:tcW w:type="dxa" w:w="36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Google Forms</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Captures respondent demographic data, communication tools used, and post-testing feedback.</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Data analysis</w:t>
            </w:r>
          </w:p>
        </w:tc>
        <w:tc>
          <w:tcPr>
            <w:tcW w:type="dxa" w:w="36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Google Sheets</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Computes frequency, percentage, mean, weighted mean, and standard deviation from gathered data; generates charts.</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Accuracy logging</w:t>
            </w:r>
          </w:p>
        </w:tc>
        <w:tc>
          <w:tcPr>
            <w:tcW w:type="dxa" w:w="36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Custom scripts / spreadsheet</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Records the Recognition Accuracy Matrix (actual gesture vs. system output) during alpha and field testing.</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Performance logging</w:t>
            </w:r>
          </w:p>
        </w:tc>
        <w:tc>
          <w:tcPr>
            <w:tcW w:type="dxa" w:w="36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Custom scripts / spreadsheet</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Records packet delivery ratio, sensor response time, and battery performance for the Technical Performance Checklist.</w:t>
            </w:r>
          </w:p>
        </w:tc>
      </w:tr>
    </w:tbl>
    <w:p>
      <w:pPr>
        <w:spacing w:after="200" w:before="300"/>
      </w:pPr>
      <w:r>
        <w:rPr>
          <w:rFonts w:ascii="Times New Roman" w:cs="Times New Roman" w:eastAsia="Times New Roman" w:hAnsi="Times New Roman"/>
          <w:b/>
          <w:bCs/>
          <w:sz w:val="26"/>
          <w:szCs w:val="26"/>
        </w:rPr>
        <w:t xml:space="preserve">Consolidated Software Requirements Matrix</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00"/>
      </w:tblGrid>
      <w:tr>
        <w:tc>
          <w:tcPr>
            <w:tcW w:type="dxa" w:w="2600"/>
            <w:shd w:fill="D9D9D9" w:val="clear"/>
            <w:tcMar>
              <w:top w:type="dxa" w:w="80"/>
              <w:left w:type="dxa" w:w="100"/>
              <w:bottom w:type="dxa" w:w="80"/>
              <w:right w:type="dxa" w:w="100"/>
            </w:tcMar>
          </w:tcPr>
          <w:p>
            <w:r>
              <w:rPr>
                <w:rFonts w:ascii="Times New Roman" w:cs="Times New Roman" w:eastAsia="Times New Roman" w:hAnsi="Times New Roman"/>
                <w:b/>
                <w:bCs/>
                <w:sz w:val="22"/>
                <w:szCs w:val="22"/>
              </w:rPr>
              <w:t xml:space="preserve">Component</w:t>
            </w:r>
          </w:p>
        </w:tc>
        <w:tc>
          <w:tcPr>
            <w:tcW w:type="dxa" w:w="3600"/>
            <w:shd w:fill="D9D9D9" w:val="clear"/>
            <w:tcMar>
              <w:top w:type="dxa" w:w="80"/>
              <w:left w:type="dxa" w:w="100"/>
              <w:bottom w:type="dxa" w:w="80"/>
              <w:right w:type="dxa" w:w="100"/>
            </w:tcMar>
          </w:tcPr>
          <w:p>
            <w:r>
              <w:rPr>
                <w:rFonts w:ascii="Times New Roman" w:cs="Times New Roman" w:eastAsia="Times New Roman" w:hAnsi="Times New Roman"/>
                <w:b/>
                <w:bCs/>
                <w:sz w:val="22"/>
                <w:szCs w:val="22"/>
              </w:rPr>
              <w:t xml:space="preserve">Software / Tool</w:t>
            </w:r>
          </w:p>
        </w:tc>
        <w:tc>
          <w:tcPr>
            <w:tcW w:type="dxa" w:w="3400"/>
            <w:shd w:fill="D9D9D9" w:val="clear"/>
            <w:tcMar>
              <w:top w:type="dxa" w:w="80"/>
              <w:left w:type="dxa" w:w="100"/>
              <w:bottom w:type="dxa" w:w="80"/>
              <w:right w:type="dxa" w:w="100"/>
            </w:tcMar>
          </w:tcPr>
          <w:p>
            <w:r>
              <w:rPr>
                <w:rFonts w:ascii="Times New Roman" w:cs="Times New Roman" w:eastAsia="Times New Roman" w:hAnsi="Times New Roman"/>
                <w:b/>
                <w:bCs/>
                <w:sz w:val="22"/>
                <w:szCs w:val="22"/>
              </w:rPr>
              <w:t xml:space="preserve">Purpose</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Glove firmware</w:t>
            </w:r>
          </w:p>
        </w:tc>
        <w:tc>
          <w:tcPr>
            <w:tcW w:type="dxa" w:w="36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Arduino IDE / PlatformIO (ESP-IDF), Embedded C++</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Sensor sampling and ESP-NOW transmission on each glove.</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Receiver firmware</w:t>
            </w:r>
          </w:p>
        </w:tc>
        <w:tc>
          <w:tcPr>
            <w:tcW w:type="dxa" w:w="36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Arduino IDE / PlatformIO (ESP-IDF), Embedded C++</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ESP-NOW reception, packet sync, and UART forwarding.</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Hub application</w:t>
            </w:r>
          </w:p>
        </w:tc>
        <w:tc>
          <w:tcPr>
            <w:tcW w:type="dxa" w:w="36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Python 3, Visual Studio Code</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Serial ingestion, TinyML inference, gesture-to-text mapping.</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Speech output</w:t>
            </w:r>
          </w:p>
        </w:tc>
        <w:tc>
          <w:tcPr>
            <w:tcW w:type="dxa" w:w="36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Offline TTS engine (e.g., eSpeak/Festival or local neural TTS)</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Converts translated text into audio without internet dependency.</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Model training</w:t>
            </w:r>
          </w:p>
        </w:tc>
        <w:tc>
          <w:tcPr>
            <w:tcW w:type="dxa" w:w="36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Jupyter Notebook, TensorFlow/Keras</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Trains the gesture recognition model on collected sensor data.</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Model optimization</w:t>
            </w:r>
          </w:p>
        </w:tc>
        <w:tc>
          <w:tcPr>
            <w:tcW w:type="dxa" w:w="36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TensorFlow Lite Micro (or equivalent)</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Quantizes/compresses the trained model for edge deployment.</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Data gathering</w:t>
            </w:r>
          </w:p>
        </w:tc>
        <w:tc>
          <w:tcPr>
            <w:tcW w:type="dxa" w:w="36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Google Forms</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Collects respondent and feedback data.</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Data analysis</w:t>
            </w:r>
          </w:p>
        </w:tc>
        <w:tc>
          <w:tcPr>
            <w:tcW w:type="dxa" w:w="36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Google Sheets</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Computes statistical measures and visualizations from gathered data.</w:t>
            </w:r>
          </w:p>
        </w:tc>
      </w:tr>
    </w:tbl>
    <w:p>
      <w:pPr>
        <w:spacing w:after="200" w:line="360"/>
        <w:jc w:val="both"/>
      </w:pPr>
      <w:r>
        <w:rPr>
          <w:rFonts w:ascii="Times New Roman" w:cs="Times New Roman" w:eastAsia="Times New Roman" w:hAnsi="Times New Roman"/>
          <w:i/>
          <w:iCs/>
          <w:sz w:val="24"/>
          <w:szCs w:val="24"/>
        </w:rPr>
        <w:t xml:space="preserve">Note: The proposal's current Software Used section names Jupyter Notebook and Visual Studio Code but does not specify the firmware framework (Arduino IDE vs. ESP-IDF/PlatformIO) or the offline text-to-speech engine to be used. Both should be finalized and stated explicitly, as they are load-bearing implementation decisions likely to be raised during panel review.</w:t>
      </w:r>
    </w:p>
    <w:sectPr>
      <w:pgSz w:w="12240" w:h="15840"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2026-09-16T20:20:48.618Z</dcterms:created>
  <dcterms:modified xsi:type="dcterms:W3CDTF">2026-09-16T20:20:48.627Z</dcterms:modified>
</cp:coreProperties>
</file>

<file path=docProps/custom.xml><?xml version="1.0" encoding="utf-8"?>
<Properties xmlns="http://schemas.openxmlformats.org/officeDocument/2006/custom-properties" xmlns:vt="http://schemas.openxmlformats.org/officeDocument/2006/docPropsVTypes"/>
</file>