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System Implementation and Integration</w:t>
      </w:r>
    </w:p>
    <w:p>
      <w:pPr>
        <w:spacing w:after="200" w:line="360"/>
        <w:jc w:val="both"/>
      </w:pPr>
      <w:r>
        <w:rPr>
          <w:rFonts w:ascii="Times New Roman" w:cs="Times New Roman" w:eastAsia="Times New Roman" w:hAnsi="Times New Roman"/>
          <w:sz w:val="24"/>
          <w:szCs w:val="24"/>
        </w:rPr>
        <w:t xml:space="preserve">This section describes how the four software layers identified earlier in this chapter were implemented and, critically, how each layer's output was verified against the layer that consumes it, rather than each being developed and tested in isolation. The pipeline is: glove node firmware (×2) → receiver dongle firmware → Raspberry Pi 5 hub application → offline TinyML training pipeline, whose output feeds back into the hub. Every boundary between two layers is defined by an explicit, versioned data contract, which is what made it possible to verify integration before final hardware assembly was complete.</w:t>
      </w:r>
    </w:p>
    <w:p>
      <w:pPr>
        <w:spacing w:after="200" w:before="300"/>
      </w:pPr>
      <w:r>
        <w:rPr>
          <w:rFonts w:ascii="Times New Roman" w:cs="Times New Roman" w:eastAsia="Times New Roman" w:hAnsi="Times New Roman"/>
          <w:b/>
          <w:bCs/>
          <w:sz w:val="26"/>
          <w:szCs w:val="26"/>
        </w:rPr>
        <w:t xml:space="preserve">1. Glove Node Firmware</w:t>
      </w:r>
    </w:p>
    <w:p>
      <w:pPr>
        <w:spacing w:after="200" w:line="360"/>
        <w:jc w:val="both"/>
      </w:pPr>
      <w:r>
        <w:rPr>
          <w:rFonts w:ascii="Times New Roman" w:cs="Times New Roman" w:eastAsia="Times New Roman" w:hAnsi="Times New Roman"/>
          <w:sz w:val="24"/>
          <w:szCs w:val="24"/>
        </w:rPr>
        <w:t xml:space="preserve">Each glove (ESP32-S3) samples five flex sensors and a six-axis IMU at 50 Hz, applies exponential moving-average smoothing, normalizes flex readings against a per-finger calibration stored in flash, and transmits the result over ESP-NOW as a fixed-layout packet (glove_packet_t). A stored calibration routine (triggered over Serial) maps each finger's raw ADC range to a consistent 0–4095 scale, correcting for sensor-to-sensor manufacturing variance that would otherwise appear in the training data as noise unrelated to the gesture itself.</w:t>
      </w:r>
    </w:p>
    <w:p>
      <w:pPr>
        <w:spacing w:after="200" w:before="300"/>
      </w:pPr>
      <w:r>
        <w:rPr>
          <w:rFonts w:ascii="Times New Roman" w:cs="Times New Roman" w:eastAsia="Times New Roman" w:hAnsi="Times New Roman"/>
          <w:b/>
          <w:bCs/>
          <w:sz w:val="26"/>
          <w:szCs w:val="26"/>
        </w:rPr>
        <w:t xml:space="preserve">2. Receiver Dongle Firmware</w:t>
      </w:r>
    </w:p>
    <w:p>
      <w:pPr>
        <w:spacing w:after="200" w:line="360"/>
        <w:jc w:val="both"/>
      </w:pPr>
      <w:r>
        <w:rPr>
          <w:rFonts w:ascii="Times New Roman" w:cs="Times New Roman" w:eastAsia="Times New Roman" w:hAnsi="Times New Roman"/>
          <w:sz w:val="24"/>
          <w:szCs w:val="24"/>
        </w:rPr>
        <w:t xml:space="preserve">The receiver (ESP32) receives both gloves' ESP-NOW transmissions, validates each packet's checksum, and forwards a combined bimanual frame to the Raspberry Pi over a dedicated UART every 20 ms — independent of whether new glove packets have just arrived. This "sample-and-hold" design was chosen deliberately over waiting for a matched left/right pair: waiting would stall the entire pipeline on a single dropped packet from either hand. Each forwarded frame instead carries a validity flag per hand indicating whether that hand's data is fresh (received within the last 30 ms) or stale, leaving the decision of how to treat stale data to the Pi hub rather than making that decision unilaterally on the receiver.</w:t>
      </w:r>
    </w:p>
    <w:p>
      <w:pPr>
        <w:spacing w:after="200" w:before="300"/>
      </w:pPr>
      <w:r>
        <w:rPr>
          <w:rFonts w:ascii="Times New Roman" w:cs="Times New Roman" w:eastAsia="Times New Roman" w:hAnsi="Times New Roman"/>
          <w:b/>
          <w:bCs/>
          <w:sz w:val="26"/>
          <w:szCs w:val="26"/>
        </w:rPr>
        <w:t xml:space="preserve">3. Raspberry Pi 5 Hub Application</w:t>
      </w:r>
    </w:p>
    <w:p>
      <w:pPr>
        <w:spacing w:after="200" w:line="360"/>
        <w:jc w:val="both"/>
      </w:pPr>
      <w:r>
        <w:rPr>
          <w:rFonts w:ascii="Times New Roman" w:cs="Times New Roman" w:eastAsia="Times New Roman" w:hAnsi="Times New Roman"/>
          <w:sz w:val="24"/>
          <w:szCs w:val="24"/>
        </w:rPr>
        <w:t xml:space="preserve">The hub (Python, running on a Raspberry Pi 5, 4GB) parses the receiver's UART stream, extracts a 22-value feature vector per frame, accumulates a 1-second sliding window (50 samples), and runs TinyML inference on that window roughly ten times per second. Raw predictions are debounced — a gesture is only accepted once it has been predicted consistently, above a confidence threshold, for several consecutive inferences — before being converted to on-screen text and spoken aloud through an offline text-to-speech engine. The hub is explicitly designed to run correctly before a trained model exists: with no model present, every other stage (serial parsing, windowing, debouncing, speech output wiring) still executes normally, which allowed this layer to be built and tested in parallel with, rather than strictly after, the training pipeline.</w:t>
      </w:r>
    </w:p>
    <w:p>
      <w:pPr>
        <w:spacing w:after="200" w:before="300"/>
      </w:pPr>
      <w:r>
        <w:rPr>
          <w:rFonts w:ascii="Times New Roman" w:cs="Times New Roman" w:eastAsia="Times New Roman" w:hAnsi="Times New Roman"/>
          <w:b/>
          <w:bCs/>
          <w:sz w:val="26"/>
          <w:szCs w:val="26"/>
        </w:rPr>
        <w:t xml:space="preserve">4. TinyML Training Pipeline</w:t>
      </w:r>
    </w:p>
    <w:p>
      <w:pPr>
        <w:spacing w:after="200" w:line="360"/>
        <w:jc w:val="both"/>
      </w:pPr>
      <w:r>
        <w:rPr>
          <w:rFonts w:ascii="Times New Roman" w:cs="Times New Roman" w:eastAsia="Times New Roman" w:hAnsi="Times New Roman"/>
          <w:sz w:val="24"/>
          <w:szCs w:val="24"/>
        </w:rPr>
        <w:t xml:space="preserve">A companion data collection tool records labeled gesture repetitions using the hub's own serial-parsing and feature-extraction code, guaranteeing that training data is built from the identical feature vector the hub uses at inference time. Each variable-length repetition is resampled to a fixed 50-frame window via linear interpolation. A Jupyter Notebook then trains a compact 1D convolutional network on the collected windows, evaluates it (producing the Recognition Accuracy Matrix and per-class report), and exports three artifacts directly into the hub's model directory: the trained model in TensorFlow Lite format, a label list, and the per-feature normalization values used during training.</w:t>
      </w:r>
    </w:p>
    <w:p>
      <w:pPr>
        <w:spacing w:after="200" w:before="300"/>
      </w:pPr>
      <w:r>
        <w:rPr>
          <w:rFonts w:ascii="Times New Roman" w:cs="Times New Roman" w:eastAsia="Times New Roman" w:hAnsi="Times New Roman"/>
          <w:b/>
          <w:bCs/>
          <w:sz w:val="26"/>
          <w:szCs w:val="26"/>
        </w:rPr>
        <w:t xml:space="preserve">Integration Contracts</w:t>
      </w:r>
    </w:p>
    <w:p>
      <w:pPr>
        <w:spacing w:after="200" w:line="360"/>
        <w:jc w:val="both"/>
      </w:pPr>
      <w:r>
        <w:rPr>
          <w:rFonts w:ascii="Times New Roman" w:cs="Times New Roman" w:eastAsia="Times New Roman" w:hAnsi="Times New Roman"/>
          <w:sz w:val="24"/>
          <w:szCs w:val="24"/>
        </w:rPr>
        <w:t xml:space="preserve">Three explicit data contracts connect these layers. Each is implemented as a shared definition copied verbatim between the two sides it connects, rather than re-derived independently on each side — the latter is how firmware and application code quietly drift out of agreement over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00"/>
      </w:tblGrid>
      <w:tr>
        <w:tc>
          <w:tcPr>
            <w:tcW w:type="dxa" w:w="2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Contract</w:t>
            </w:r>
          </w:p>
        </w:tc>
        <w:tc>
          <w:tcPr>
            <w:tcW w:type="dxa" w:w="3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Connects</w:t>
            </w:r>
          </w:p>
        </w:tc>
        <w:tc>
          <w:tcPr>
            <w:tcW w:type="dxa" w:w="4200"/>
            <w:shd w:fill="D9D9D9" w:val="clear"/>
            <w:tcMar>
              <w:top w:type="dxa" w:w="80"/>
              <w:left w:type="dxa" w:w="100"/>
              <w:bottom w:type="dxa" w:w="80"/>
              <w:right w:type="dxa" w:w="100"/>
            </w:tcMar>
          </w:tcPr>
          <w:p>
            <w:r>
              <w:rPr>
                <w:rFonts w:ascii="Times New Roman" w:cs="Times New Roman" w:eastAsia="Times New Roman" w:hAnsi="Times New Roman"/>
                <w:b/>
                <w:bCs/>
                <w:sz w:val="22"/>
                <w:szCs w:val="22"/>
              </w:rPr>
              <w:t xml:space="preserve">What it fixes</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packet.h</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Glove firmware ↔ Receiver firmware</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Byte layout of one hand's sensor packet, including the additive checksum used to detect transmission corruption.</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frame.h</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Receiver firmware ↔ Pi hub (Python)</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Byte layout of the combined bimanual frame and its UART framing (sync bytes + length prefix).</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Feature order + model artifacts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Pi hub ↔ Training pipeline</w:t>
            </w:r>
          </w:p>
        </w:tc>
        <w:tc>
          <w:tcPr>
            <w:tcW w:type="dxa" w:w="4200"/>
            <w:tcMar>
              <w:top w:type="dxa" w:w="80"/>
              <w:left w:type="dxa" w:w="100"/>
              <w:bottom w:type="dxa" w:w="80"/>
              <w:right w:type="dxa" w:w="100"/>
            </w:tcMar>
          </w:tcPr>
          <w:p>
            <w:r>
              <w:rPr>
                <w:rFonts w:ascii="Times New Roman" w:cs="Times New Roman" w:eastAsia="Times New Roman" w:hAnsi="Times New Roman"/>
                <w:b w:val="false"/>
                <w:bCs w:val="false"/>
                <w:sz w:val="22"/>
                <w:szCs w:val="22"/>
              </w:rPr>
              <w:t xml:space="preserve">The 22-value feature order (left flex, right flex, left accel/gyro, right accel/gyro) and the three files (model.tflite, labels.json, scaler.json) the hub expects a trained model to be delivered as.</w:t>
            </w:r>
          </w:p>
        </w:tc>
      </w:tr>
    </w:tbl>
    <w:p>
      <w:pPr>
        <w:spacing w:after="200" w:before="300"/>
      </w:pPr>
      <w:r>
        <w:rPr>
          <w:rFonts w:ascii="Times New Roman" w:cs="Times New Roman" w:eastAsia="Times New Roman" w:hAnsi="Times New Roman"/>
          <w:b/>
          <w:bCs/>
          <w:sz w:val="26"/>
          <w:szCs w:val="26"/>
        </w:rPr>
        <w:t xml:space="preserve">Verification Performed</w:t>
      </w:r>
    </w:p>
    <w:p>
      <w:pPr>
        <w:spacing w:after="200" w:line="360"/>
        <w:jc w:val="both"/>
      </w:pPr>
      <w:r>
        <w:rPr>
          <w:rFonts w:ascii="Times New Roman" w:cs="Times New Roman" w:eastAsia="Times New Roman" w:hAnsi="Times New Roman"/>
          <w:sz w:val="24"/>
          <w:szCs w:val="24"/>
        </w:rPr>
        <w:t xml:space="preserve">Each contract above was verified programmatically rather than assumed correct by inspection, since a struct-layout mismatch between firmware and Python does not raise an error anywhere in the pipeline — it simply produces incorrect values silently. The following checks were run and passed prior to final hardware integration:</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frame round-trip test packs a synthetic combined_frame_t using the exact struct layout the receiver firmware uses, confirms the Pi hub's Python parser decodes every field back correctly, and confirms a deliberately corrupted byte is correctly rejected by the checksum check.</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The full hub pipeline (serial parsing, windowing, inference, debouncing, text-to-speech wiring) was run end-to-end using a synthetic data source, with and without a trained model present, confirming graceful behavior in both cases rather than a crash when a model is not yet available.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 complete synthetic training run was carried out: a small labeled dataset was generated, trained into a model through the actual training pipeline, exported through the actual export code, and the resulting model.tflite/labels.json/scaler.json were loaded back through the hub's own model-loading code — not a separate test harness. The hub correctly classified a held-out example, confirming the full collection-to-deployment loop functions correctly before any real gesture data has been collected.</w:t>
      </w:r>
    </w:p>
    <w:p>
      <w:pPr>
        <w:spacing w:after="200" w:before="300"/>
      </w:pPr>
      <w:r>
        <w:rPr>
          <w:rFonts w:ascii="Times New Roman" w:cs="Times New Roman" w:eastAsia="Times New Roman" w:hAnsi="Times New Roman"/>
          <w:b/>
          <w:bCs/>
          <w:sz w:val="26"/>
          <w:szCs w:val="26"/>
        </w:rPr>
        <w:t xml:space="preserve">Testing and Evaluation Tooling</w:t>
      </w:r>
    </w:p>
    <w:p>
      <w:pPr>
        <w:spacing w:after="200" w:line="360"/>
        <w:jc w:val="both"/>
      </w:pPr>
      <w:r>
        <w:rPr>
          <w:rFonts w:ascii="Times New Roman" w:cs="Times New Roman" w:eastAsia="Times New Roman" w:hAnsi="Times New Roman"/>
          <w:sz w:val="24"/>
          <w:szCs w:val="24"/>
        </w:rPr>
        <w:t xml:space="preserve">Three additional tools support the evaluation phase described elsewhere in this chapter: an accuracy logger that prompts a tester through a randomized sequence of named gestures and produces the Recognition Accuracy Matrix (as a CSV table and a plotted figure) along with mean and standard deviation of recognition latency; a performance logger that reports packet delivery ratio and recognition latency over an extended session; and a lower-level link logger that, using a secondary connection to the receiver dongle, isolates packet loss occurring specifically on the ESP-NOW hop between the gloves and the receiver. Battery performance is recorded manually, alongside a performance-logger session, since runtime under continuous use is a physical measurement rather than one the software pipeline can observe on its own.</w:t>
      </w:r>
    </w:p>
    <w:p>
      <w:pPr>
        <w:spacing w:after="200" w:before="300"/>
      </w:pPr>
      <w:r>
        <w:rPr>
          <w:rFonts w:ascii="Times New Roman" w:cs="Times New Roman" w:eastAsia="Times New Roman" w:hAnsi="Times New Roman"/>
          <w:b/>
          <w:bCs/>
          <w:sz w:val="26"/>
          <w:szCs w:val="26"/>
        </w:rPr>
        <w:t>Signyales App (GUI), Added October 2026</w:t>
      </w:r>
    </w:p>
    <w:p>
      <w:pPr>
        <w:spacing w:after="200" w:line="360"/>
        <w:jc w:val="both"/>
      </w:pPr>
      <w:r>
        <w:rPr>
          <w:rFonts w:ascii="Times New Roman" w:cs="Times New Roman" w:eastAsia="Times New Roman" w:hAnsi="Times New Roman"/>
          <w:sz w:val="24"/>
          <w:szCs w:val="24"/>
        </w:rPr>
        <w:t>A windowed app (gui/signyales_gui.py, Python and Tkinter) runs on both the laptop and the Pi. Testing mode runs every verification command as a button and shows its full output. On the Pi, Active mode recognizes signs with large subtitles and speech, and records labeled repetitions in the same file format as the command-line recorder. On the laptop, Active mode can mirror the Pi's recognized words and glove status over a local TCP link (port 50555, one JSON message per line; no sensor recordings are sent), and helps compile, upload and monitor the firmware. Its recognition loop (gui/core/live.py) repeats the hub's main loop step by step, and an automated test checks that both give the same result. Speech runs in a separate helper process; on Windows it uses the built-in SAPI voice directly, because pyttsx3 stayed silent when called from the GUI. This app is a scope change from the proposal's console-only output (see the Software Requirements note).</w:t>
      </w:r>
    </w:p>
    <w:p>
      <w:pPr>
        <w:spacing w:after="200" w:before="300"/>
      </w:pPr>
      <w:r>
        <w:rPr>
          <w:rFonts w:ascii="Times New Roman" w:cs="Times New Roman" w:eastAsia="Times New Roman" w:hAnsi="Times New Roman"/>
          <w:b/>
          <w:bCs/>
          <w:sz w:val="26"/>
          <w:szCs w:val="26"/>
        </w:rPr>
        <w:t xml:space="preserve">Design Decision: Direct TTS Invocation vs. File-Based Handoff</w:t>
      </w:r>
    </w:p>
    <w:p>
      <w:pPr>
        <w:spacing w:after="200" w:line="360"/>
        <w:jc w:val="both"/>
      </w:pPr>
      <w:r>
        <w:rPr>
          <w:rFonts w:ascii="Times New Roman" w:cs="Times New Roman" w:eastAsia="Times New Roman" w:hAnsi="Times New Roman"/>
          <w:sz w:val="24"/>
          <w:szCs w:val="24"/>
        </w:rPr>
        <w:t xml:space="preserve">The proposal's original architecture describes the recognized gesture being written to a text file, which a separate text-to-speech program then reads and speaks. The implemented system instead calls the text-to-speech engine directly from within the same recognition pipeline, as a function call rather than a file handoff between two separate programs. This was a deliberate simplification rather than an oversight: a file-based handoff introduces synchronization risks that do not otherwise exist — a reader process that is not running when a gesture fires, a file read before a write has fully flushed, or the two programs falling out of step with one another. None of these failure modes are possible in a direct-call design, since there is nothing to desynchronize. The two approaches are functionally equivalent in output — a recognized gesture is still converted to spoken audio — and the simpler design was chosen specifically because it removes an entire category of inter-process failure for a single-device system where no other component needs to read the recognized text independently.</w:t>
      </w:r>
    </w:p>
    <w:p>
      <w:pPr>
        <w:spacing w:after="200" w:before="300"/>
      </w:pPr>
      <w:r>
        <w:rPr>
          <w:rFonts w:ascii="Times New Roman" w:cs="Times New Roman" w:eastAsia="Times New Roman" w:hAnsi="Times New Roman"/>
          <w:b/>
          <w:bCs/>
          <w:sz w:val="26"/>
          <w:szCs w:val="26"/>
        </w:rPr>
        <w:t xml:space="preserve">Known Integration Risks Not Yet Verified</w:t>
      </w:r>
    </w:p>
    <w:p>
      <w:pPr>
        <w:spacing w:after="200" w:line="360"/>
        <w:jc w:val="both"/>
      </w:pPr>
      <w:r>
        <w:rPr>
          <w:rFonts w:ascii="Times New Roman" w:cs="Times New Roman" w:eastAsia="Times New Roman" w:hAnsi="Times New Roman"/>
          <w:sz w:val="24"/>
          <w:szCs w:val="24"/>
        </w:rPr>
        <w:t xml:space="preserve">The verifications above establish that the software layers agree with one another given their documented contracts. They do not yet establish real-world behavior, which depends on hardware not exercised in this phase: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Firmware has not been compiled and flashed against real ESP32-S3/ESP32 hardware — verification so far is limited to static syntax checks, since no ESP32 toolchain was available in the development environment used for this phase.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The UART wiring between the receiver and the Pi 5, including the disable-bt configuration required to free the PL011 UART, has not been tested on physical hardware.</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All training and inference verification used synthetic data; no real flex-sensor or IMU data has been collected or trained on yet, so real-world recognition accuracy remains unknown until field testing begins.</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Battery performance and physical range of the ESP-NOW link have not been measured.</w:t>
      </w:r>
    </w:p>
    <w:p>
      <w:pPr>
        <w:pStyle w:val="ListParagraph"/>
        <w:numPr>
          <w:ilvl w:val="0"/>
          <w:numId w:val="1"/>
        </w:numPr>
        <w:spacing w:after="120" w:line="360"/>
        <w:jc w:val="both"/>
      </w:pPr>
      <w:r>
        <w:rPr>
          <w:rFonts w:ascii="Times New Roman" w:cs="Times New Roman" w:eastAsia="Times New Roman" w:hAnsi="Times New Roman"/>
          <w:sz w:val="24"/>
          <w:szCs w:val="24"/>
        </w:rPr>
        <w:t>The GUI and the Pi-to-laptop mirror have only been run on a Windows laptop with fake glove data, not on a Raspberry Pi, with real gloves, or over a real cable or Wi-Fi link.</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2026-09-20T07:12:38.314Z</dcterms:created>
  <dcterms:modified xsi:type="dcterms:W3CDTF">2026-09-20T07:12:38.323Z</dcterms:modified>
</cp:coreProperties>
</file>

<file path=docProps/custom.xml><?xml version="1.0" encoding="utf-8"?>
<Properties xmlns="http://schemas.openxmlformats.org/officeDocument/2006/custom-properties" xmlns:vt="http://schemas.openxmlformats.org/officeDocument/2006/docPropsVTypes"/>
</file>