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jc w:val="center"/>
      </w:pPr>
      <w:r>
        <w:rPr>
          <w:rFonts w:ascii="Times New Roman" w:cs="Times New Roman" w:eastAsia="Times New Roman" w:hAnsi="Times New Roman"/>
          <w:b/>
          <w:bCs/>
          <w:sz w:val="28"/>
          <w:szCs w:val="28"/>
        </w:rPr>
        <w:t xml:space="preserve">Field Testing Procedure</w:t>
      </w:r>
    </w:p>
    <w:p>
      <w:pPr>
        <w:spacing w:after="300"/>
        <w:jc w:val="center"/>
      </w:pPr>
      <w:r>
        <w:rPr>
          <w:rFonts w:ascii="Times New Roman" w:cs="Times New Roman" w:eastAsia="Times New Roman" w:hAnsi="Times New Roman"/>
          <w:i/>
          <w:iCs/>
          <w:sz w:val="24"/>
          <w:szCs w:val="24"/>
        </w:rPr>
        <w:t xml:space="preserve">Step-by-Step Protocol for Participant Testing Sessions</w:t>
      </w:r>
    </w:p>
    <w:p>
      <w:pPr>
        <w:spacing w:after="200" w:line="360"/>
        <w:jc w:val="both"/>
      </w:pPr>
      <w:r>
        <w:rPr>
          <w:rFonts w:ascii="Times New Roman" w:cs="Times New Roman" w:eastAsia="Times New Roman" w:hAnsi="Times New Roman"/>
          <w:sz w:val="24"/>
          <w:szCs w:val="24"/>
        </w:rPr>
        <w:t xml:space="preserve">This procedure ties together everything built in earlier phases — the assembled hardware, the accuracy and performance logging tools, and the research instrument — into a single repeatable session that can be run with each participant. Following the same sequence for every participant is what makes results across participants comparable in Chapter IV.</w:t>
      </w:r>
    </w:p>
    <w:p>
      <w:pPr>
        <w:spacing w:after="200" w:before="300"/>
      </w:pPr>
      <w:r>
        <w:rPr>
          <w:rFonts w:ascii="Times New Roman" w:cs="Times New Roman" w:eastAsia="Times New Roman" w:hAnsi="Times New Roman"/>
          <w:b/>
          <w:bCs/>
          <w:sz w:val="26"/>
          <w:szCs w:val="26"/>
        </w:rPr>
        <w:t xml:space="preserve">1. Purpose</w:t>
      </w:r>
    </w:p>
    <w:p>
      <w:pPr>
        <w:spacing w:after="200" w:line="360"/>
        <w:jc w:val="both"/>
      </w:pPr>
      <w:r>
        <w:rPr>
          <w:rFonts w:ascii="Times New Roman" w:cs="Times New Roman" w:eastAsia="Times New Roman" w:hAnsi="Times New Roman"/>
          <w:sz w:val="24"/>
          <w:szCs w:val="24"/>
        </w:rPr>
        <w:t xml:space="preserve">To evaluate the system's gesture recognition accuracy, technical performance, and user acceptability under real, hands-on use by actual members of the target user group, rather than relying solely on the synthetic verification described in the System Implementation and Integration section.</w:t>
      </w:r>
    </w:p>
    <w:p>
      <w:pPr>
        <w:spacing w:after="200" w:before="300"/>
      </w:pPr>
      <w:r>
        <w:rPr>
          <w:rFonts w:ascii="Times New Roman" w:cs="Times New Roman" w:eastAsia="Times New Roman" w:hAnsi="Times New Roman"/>
          <w:b/>
          <w:bCs/>
          <w:sz w:val="26"/>
          <w:szCs w:val="26"/>
        </w:rPr>
        <w:t xml:space="preserve">2. Participants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Recruit participants who are Deaf, hard of hearing, or fluent/intermediate FSL signers, per the study's target population — recruiting only hearing non-signers would not test what the system is actually meant to do.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 minimum of 10–15 participants is a reasonable starting point for a capstone-scale evaluation; more strengthens the statistical basis of Chapter IV but is bounded by realistic recruitment access and testing time.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Obtain informed consent (and parental/guardian consent plus the minor's own assent if any participant is under 18) before testing begins. State plainly that participation is voluntary and can be stopped at any time without consequence.</w:t>
      </w:r>
    </w:p>
    <w:p>
      <w:pPr>
        <w:spacing w:after="200" w:before="300"/>
      </w:pPr>
      <w:r>
        <w:rPr>
          <w:rFonts w:ascii="Times New Roman" w:cs="Times New Roman" w:eastAsia="Times New Roman" w:hAnsi="Times New Roman"/>
          <w:b/>
          <w:bCs/>
          <w:sz w:val="26"/>
          <w:szCs w:val="26"/>
        </w:rPr>
        <w:t xml:space="preserve">3. Materials Checklist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c>
          <w:tcPr>
            <w:tcW w:type="dxa" w:w="3200"/>
            <w:shd w:fill="D9D9D9" w:val="clear"/>
            <w:tcMar>
              <w:top w:type="dxa" w:w="80"/>
              <w:left w:type="dxa" w:w="100"/>
              <w:bottom w:type="dxa" w:w="80"/>
              <w:right w:type="dxa" w:w="100"/>
            </w:tcMar>
          </w:tcPr>
          <w:p>
            <w:r>
              <w:rPr>
                <w:rFonts w:ascii="Times New Roman" w:cs="Times New Roman" w:eastAsia="Times New Roman" w:hAnsi="Times New Roman"/>
                <w:b/>
                <w:bCs/>
                <w:sz w:val="21"/>
                <w:szCs w:val="21"/>
              </w:rPr>
              <w:t xml:space="preserve">Item</w:t>
            </w:r>
          </w:p>
        </w:tc>
        <w:tc>
          <w:tcPr>
            <w:tcW w:type="dxa" w:w="5200"/>
            <w:shd w:fill="D9D9D9" w:val="clear"/>
            <w:tcMar>
              <w:top w:type="dxa" w:w="80"/>
              <w:left w:type="dxa" w:w="100"/>
              <w:bottom w:type="dxa" w:w="80"/>
              <w:right w:type="dxa" w:w="100"/>
            </w:tcMar>
          </w:tcPr>
          <w:p>
            <w:r>
              <w:rPr>
                <w:rFonts w:ascii="Times New Roman" w:cs="Times New Roman" w:eastAsia="Times New Roman" w:hAnsi="Times New Roman"/>
                <w:b/>
                <w:bCs/>
                <w:sz w:val="21"/>
                <w:szCs w:val="21"/>
              </w:rPr>
              <w:t xml:space="preserve">Source</w:t>
            </w:r>
          </w:p>
        </w:tc>
      </w:tr>
      <w:tr>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Both gloves, calibrated and charged</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See Hardware Assembly Guide + glove firmware README calibration routine</w:t>
            </w:r>
          </w:p>
        </w:tc>
      </w:tr>
      <w:tr>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Receiver dongle, wired to the Pi</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See Hardware Assembly Guide, Receiver ↔ Pi wiring diagram</w:t>
            </w:r>
          </w:p>
        </w:tc>
      </w:tr>
      <w:tr>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Raspberry Pi 5, powered, hub application ready to run</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signyales_pi_hub</w:t>
            </w:r>
          </w:p>
        </w:tc>
      </w:tr>
      <w:tr>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A trained model in signyales_pi_hub/model/</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signyales_training — confirm with `python -m signyales_hub.main -v` before the session that it reports a loaded model, not the “no usable model” warning</w:t>
            </w:r>
          </w:p>
        </w:tc>
      </w:tr>
      <w:tr>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Speaker connected and audio-tested</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Hardware Assembly Guide</w:t>
            </w:r>
          </w:p>
        </w:tc>
      </w:tr>
      <w:tr>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Laptop running accuracy_logger.py / performance_logger.py</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signyales_pi_hub/tools</w:t>
            </w:r>
          </w:p>
        </w:tc>
      </w:tr>
      <w:tr>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Google Form (from the Research Instrument) open and ready</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Signyales_Research_Instruments.docx</w:t>
            </w:r>
          </w:p>
        </w:tc>
      </w:tr>
      <w:tr>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Printed or digital informed consent form</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Prepared separately per your institution's ethics requirements</w:t>
            </w:r>
          </w:p>
        </w:tc>
      </w:tr>
      <w:tr>
        <w:tc>
          <w:tcPr>
            <w:tcW w:type="dxa" w:w="3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Stopwatch or phone timer (backup timing reference)</w:t>
            </w:r>
          </w:p>
        </w:tc>
        <w:tc>
          <w:tcPr>
            <w:tcW w:type="dxa" w:w="5200"/>
            <w:tcMar>
              <w:top w:type="dxa" w:w="80"/>
              <w:left w:type="dxa" w:w="100"/>
              <w:bottom w:type="dxa" w:w="80"/>
              <w:right w:type="dxa" w:w="100"/>
            </w:tcMar>
          </w:tcPr>
          <w:p>
            <w:r>
              <w:rPr>
                <w:rFonts w:ascii="Times New Roman" w:cs="Times New Roman" w:eastAsia="Times New Roman" w:hAnsi="Times New Roman"/>
                <w:b w:val="false"/>
                <w:bCs w:val="false"/>
                <w:sz w:val="21"/>
                <w:szCs w:val="21"/>
              </w:rPr>
              <w:t xml:space="preserve">N/A</w:t>
            </w:r>
          </w:p>
        </w:tc>
      </w:tr>
    </w:tbl>
    <w:p>
      <w:pPr>
        <w:spacing w:after="200" w:before="300"/>
      </w:pPr>
      <w:r>
        <w:rPr>
          <w:rFonts w:ascii="Times New Roman" w:cs="Times New Roman" w:eastAsia="Times New Roman" w:hAnsi="Times New Roman"/>
          <w:b/>
          <w:bCs/>
          <w:sz w:val="26"/>
          <w:szCs w:val="26"/>
        </w:rPr>
        <w:t xml:space="preserve">4. Pre-Session Setup (before the participant arrives)</w:t>
      </w:r>
    </w:p>
    <w:p>
      <w:pPr>
        <w:spacing w:after="150" w:line="360"/>
        <w:jc w:val="both"/>
      </w:pPr>
      <w:r>
        <w:rPr>
          <w:rFonts w:ascii="Times New Roman" w:cs="Times New Roman" w:eastAsia="Times New Roman" w:hAnsi="Times New Roman"/>
          <w:sz w:val="24"/>
          <w:szCs w:val="24"/>
        </w:rPr>
        <w:t xml:space="preserve">1. Fully charge both gloves and confirm calibration is current — recalibrate if a different wearer's hand size differs noticeably from the last calibration.</w:t>
      </w:r>
    </w:p>
    <w:p>
      <w:pPr>
        <w:spacing w:after="150" w:line="360"/>
        <w:jc w:val="both"/>
      </w:pPr>
      <w:r>
        <w:rPr>
          <w:rFonts w:ascii="Times New Roman" w:cs="Times New Roman" w:eastAsia="Times New Roman" w:hAnsi="Times New Roman"/>
          <w:sz w:val="24"/>
          <w:szCs w:val="24"/>
        </w:rPr>
        <w:t xml:space="preserve">2. Power on the receiver and Pi, and run `python -m signyales_hub.main --simulate --no-tts -v` briefly to confirm the software stack starts cleanly before switching to the real hardware.</w:t>
      </w:r>
    </w:p>
    <w:p>
      <w:pPr>
        <w:spacing w:after="150" w:line="360"/>
        <w:jc w:val="both"/>
      </w:pPr>
      <w:r>
        <w:rPr>
          <w:rFonts w:ascii="Times New Roman" w:cs="Times New Roman" w:eastAsia="Times New Roman" w:hAnsi="Times New Roman"/>
          <w:sz w:val="24"/>
          <w:szCs w:val="24"/>
        </w:rPr>
        <w:t xml:space="preserve">3. Run the real (non-simulated) hub briefly with a team member wearing the gloves to confirm end-to-end recognition works before the participant arrives — debugging hardware issues during a participant's session wastes their time and can affect their impression of the system.</w:t>
      </w:r>
    </w:p>
    <w:p>
      <w:pPr>
        <w:spacing w:after="150" w:line="360"/>
        <w:jc w:val="both"/>
      </w:pPr>
      <w:r>
        <w:rPr>
          <w:rFonts w:ascii="Times New Roman" w:cs="Times New Roman" w:eastAsia="Times New Roman" w:hAnsi="Times New Roman"/>
          <w:sz w:val="24"/>
          <w:szCs w:val="24"/>
        </w:rPr>
        <w:t xml:space="preserve">4. Prepare a quiet, reasonably well-lit testing area free of significant electromagnetic interference that could affect the 2.4GHz ESP-NOW link (e.g., away from busy Wi-Fi access points where practical).</w:t>
      </w:r>
    </w:p>
    <w:p>
      <w:pPr>
        <w:spacing w:after="200" w:before="300"/>
      </w:pPr>
      <w:r>
        <w:rPr>
          <w:rFonts w:ascii="Times New Roman" w:cs="Times New Roman" w:eastAsia="Times New Roman" w:hAnsi="Times New Roman"/>
          <w:b/>
          <w:bCs/>
          <w:sz w:val="26"/>
          <w:szCs w:val="26"/>
        </w:rPr>
        <w:t xml:space="preserve">5. Session Protocol (per participant)</w:t>
      </w:r>
    </w:p>
    <w:p>
      <w:pPr>
        <w:spacing w:after="150" w:line="360"/>
        <w:jc w:val="both"/>
      </w:pPr>
      <w:r>
        <w:rPr>
          <w:rFonts w:ascii="Times New Roman" w:cs="Times New Roman" w:eastAsia="Times New Roman" w:hAnsi="Times New Roman"/>
          <w:sz w:val="24"/>
          <w:szCs w:val="24"/>
        </w:rPr>
        <w:t xml:space="preserve">1. Welcome the participant, explain the purpose of the study in plain terms, and obtain signed informed consent before proceeding.</w:t>
      </w:r>
    </w:p>
    <w:p>
      <w:pPr>
        <w:spacing w:after="150" w:line="360"/>
        <w:jc w:val="both"/>
      </w:pPr>
      <w:r>
        <w:rPr>
          <w:rFonts w:ascii="Times New Roman" w:cs="Times New Roman" w:eastAsia="Times New Roman" w:hAnsi="Times New Roman"/>
          <w:sz w:val="24"/>
          <w:szCs w:val="24"/>
        </w:rPr>
        <w:t xml:space="preserve">2. Record the participant's assigned ID (do not use their name in any data file) and have them complete Part I (Respondent Profile) of the Google Form.</w:t>
      </w:r>
    </w:p>
    <w:p>
      <w:pPr>
        <w:spacing w:after="150" w:line="360"/>
        <w:jc w:val="both"/>
      </w:pPr>
      <w:r>
        <w:rPr>
          <w:rFonts w:ascii="Times New Roman" w:cs="Times New Roman" w:eastAsia="Times New Roman" w:hAnsi="Times New Roman"/>
          <w:sz w:val="24"/>
          <w:szCs w:val="24"/>
        </w:rPr>
        <w:t xml:space="preserve">3. Fit both gloves and briefly demonstrate one or two gestures yourself so the participant sees what a completed sign looks like to the system.</w:t>
      </w:r>
    </w:p>
    <w:p>
      <w:pPr>
        <w:spacing w:after="150" w:line="360"/>
        <w:jc w:val="both"/>
      </w:pPr>
      <w:r>
        <w:rPr>
          <w:rFonts w:ascii="Times New Roman" w:cs="Times New Roman" w:eastAsia="Times New Roman" w:hAnsi="Times New Roman"/>
          <w:sz w:val="24"/>
          <w:szCs w:val="24"/>
        </w:rPr>
        <w:t xml:space="preserve">4. Give the participant a short practice period (2–3 minutes) with the gloves on, performing a few gestures freely with live feedback, before formal data collection begins — this reduces first-attempt unfamiliarity from contaminating the accuracy results.</w:t>
      </w:r>
    </w:p>
    <w:p>
      <w:pPr>
        <w:spacing w:after="150" w:line="360"/>
        <w:jc w:val="both"/>
      </w:pPr>
      <w:r>
        <w:rPr>
          <w:rFonts w:ascii="Times New Roman" w:cs="Times New Roman" w:eastAsia="Times New Roman" w:hAnsi="Times New Roman"/>
          <w:sz w:val="24"/>
          <w:szCs w:val="24"/>
        </w:rPr>
        <w:t xml:space="preserve">5. Run the Recognition Accuracy trials: `python tools/accuracy_logger.py --gestures &lt;list&gt; --trials &lt;N&gt; --model-dir model --out results/&lt;participant_id&gt;_accuracy`. Follow the on-screen prompts exactly as they appear — do not skip or reorder trials, since randomized order is what protects the results from practice-effect bias.</w:t>
      </w:r>
    </w:p>
    <w:p>
      <w:pPr>
        <w:spacing w:after="150" w:line="360"/>
        <w:jc w:val="both"/>
      </w:pPr>
      <w:r>
        <w:rPr>
          <w:rFonts w:ascii="Times New Roman" w:cs="Times New Roman" w:eastAsia="Times New Roman" w:hAnsi="Times New Roman"/>
          <w:sz w:val="24"/>
          <w:szCs w:val="24"/>
        </w:rPr>
        <w:t xml:space="preserve">6. Immediately after the accuracy trials, run a performance logging session covering a few minutes of freer, more natural device use: `python tools/performance_logger.py --model-dir model --duration &lt;seconds&gt; --out results/&lt;participant_id&gt;_perf`.</w:t>
      </w:r>
    </w:p>
    <w:p>
      <w:pPr>
        <w:spacing w:after="150" w:line="360"/>
        <w:jc w:val="both"/>
      </w:pPr>
      <w:r>
        <w:rPr>
          <w:rFonts w:ascii="Times New Roman" w:cs="Times New Roman" w:eastAsia="Times New Roman" w:hAnsi="Times New Roman"/>
          <w:sz w:val="24"/>
          <w:szCs w:val="24"/>
        </w:rPr>
        <w:t xml:space="preserve">7. Have the participant remove the gloves and complete Part II and Part III of the Google Form while the experience is still fresh.</w:t>
      </w:r>
    </w:p>
    <w:p>
      <w:pPr>
        <w:spacing w:after="150" w:line="360"/>
        <w:jc w:val="both"/>
      </w:pPr>
      <w:r>
        <w:rPr>
          <w:rFonts w:ascii="Times New Roman" w:cs="Times New Roman" w:eastAsia="Times New Roman" w:hAnsi="Times New Roman"/>
          <w:sz w:val="24"/>
          <w:szCs w:val="24"/>
        </w:rPr>
        <w:t xml:space="preserve">8. Thank the participant and answer any questions about the study or the device.</w:t>
      </w:r>
    </w:p>
    <w:p>
      <w:pPr>
        <w:spacing w:after="200" w:before="300"/>
      </w:pPr>
      <w:r>
        <w:rPr>
          <w:rFonts w:ascii="Times New Roman" w:cs="Times New Roman" w:eastAsia="Times New Roman" w:hAnsi="Times New Roman"/>
          <w:b/>
          <w:bCs/>
          <w:sz w:val="26"/>
          <w:szCs w:val="26"/>
        </w:rPr>
        <w:t xml:space="preserve">6. Data Handling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Store each participant's accuracy_logger.py and performance_logger.py output files under a results/ directory named by participant ID, not by name.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Copy Google Form responses into Signyales_Survey_Analysis_Template.xlsx's Raw Responses sheet after each session, or in a batch at the end of the testing phase — either works, since the sheet's formulas recompute automatically either way.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Keep the informed consent forms separately from the numerical data, linked only by participant ID, consistent with standard practice for protecting participant confidentiality.</w:t>
      </w:r>
    </w:p>
    <w:p>
      <w:pPr>
        <w:spacing w:after="200" w:before="300"/>
      </w:pPr>
      <w:r>
        <w:rPr>
          <w:rFonts w:ascii="Times New Roman" w:cs="Times New Roman" w:eastAsia="Times New Roman" w:hAnsi="Times New Roman"/>
          <w:b/>
          <w:bCs/>
          <w:sz w:val="26"/>
          <w:szCs w:val="26"/>
        </w:rPr>
        <w:t xml:space="preserve">7. After All Sessions Are Complete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Aggregate all participants' accuracy_logger.py CSVs into a single combined Recognition Accuracy Matrix for Chapter IV, rather than reporting each participant's matrix in isolation.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Review the Likert Analysis sheet's per-item and overall weighted means and verbal interpretations — these map directly onto the acceptability discussion in Chapter IV.</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Review open-ended responses (Part III) for recurring themes — these often explain *why* a particular quantitative result came out the way it did, and are worth quoting selectively in the discussion.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Cross-reference low-accuracy gestures against performance_logger.py's packet delivery ratio for the same sessions — a gesture that was consistently misrecognized for one participant but not others may point to a fit/calibration issue rather than a model weakness.</w:t>
      </w:r>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2026-09-20T13:02:58.630Z</dcterms:created>
  <dcterms:modified xsi:type="dcterms:W3CDTF">2026-09-20T13:02:58.630Z</dcterms:modified>
</cp:coreProperties>
</file>

<file path=docProps/custom.xml><?xml version="1.0" encoding="utf-8"?>
<Properties xmlns="http://schemas.openxmlformats.org/officeDocument/2006/custom-properties" xmlns:vt="http://schemas.openxmlformats.org/officeDocument/2006/docPropsVTypes"/>
</file>