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eispielbericht"/>
    <w:p>
      <w:pPr>
        <w:pStyle w:val="Heading1"/>
      </w:pPr>
      <w:r>
        <w:t xml:space="preserve">Beispielbericht</w:t>
      </w:r>
    </w:p>
    <w:bookmarkEnd w:id="21"/>
    <w:p>
      <w:r>
        <w:t xml:space="preserve">Owe Jessen</w:t>
      </w:r>
    </w:p>
    <w:p>
      <w:r>
        <w:t xml:space="preserve">Fri Oct 25 15:07:06 2013</w:t>
      </w:r>
    </w:p>
    <w:p/>
    <w:bookmarkStart w:id="22" w:name="inhaltsverzeichnis"/>
    <w:p>
      <w:pPr>
        <w:pStyle w:val="Heading1"/>
      </w:pPr>
      <w:r>
        <w:t xml:space="preserve">Inhaltsverzeichnis</w:t>
      </w:r>
    </w:p>
    <w:bookmarkEnd w:id="22"/>
    <w:p>
      <w:pPr>
        <w:numPr>
          <w:numId w:val="2"/>
          <w:ilvl w:val="0"/>
        </w:numPr>
      </w:pPr>
      <w:r>
        <w:t xml:space="preserve">Text</w:t>
      </w:r>
    </w:p>
    <w:p>
      <w:pPr>
        <w:numPr>
          <w:numId w:val="2"/>
          <w:ilvl w:val="0"/>
        </w:numPr>
      </w:pPr>
      <w:r>
        <w:t xml:space="preserve">Tables</w:t>
      </w:r>
    </w:p>
    <w:p>
      <w:pPr>
        <w:numPr>
          <w:numId w:val="2"/>
          <w:ilvl w:val="0"/>
        </w:numPr>
      </w:pPr>
      <w:r>
        <w:t xml:space="preserve">Plots</w:t>
      </w:r>
    </w:p>
    <w:bookmarkStart w:id="23" w:name="text"/>
    <w:p>
      <w:pPr>
        <w:pStyle w:val="Heading1"/>
      </w:pPr>
      <w:r>
        <w:t xml:space="preserve">Text</w:t>
      </w:r>
    </w:p>
    <w:bookmarkEnd w:id="23"/>
    <w:bookmarkStart w:id="24" w:name="overview"/>
    <w:p>
      <w:pPr>
        <w:pStyle w:val="Heading2"/>
      </w:pPr>
      <w:r>
        <w:t xml:space="preserve">Overview</w:t>
      </w:r>
    </w:p>
    <w:bookmarkEnd w:id="24"/>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Pr>
          <w:rStyle w:val="FootnoteRef"/>
        </w:rPr>
        <w:footnoteReference w:id="25"/>
      </w:r>
    </w:p>
    <w:bookmarkStart w:id="27" w:name="tables"/>
    <w:p>
      <w:pPr>
        <w:pStyle w:val="Heading1"/>
      </w:pPr>
      <w:r>
        <w:t xml:space="preserve">Tables</w:t>
      </w:r>
    </w:p>
    <w:bookmarkEnd w:id="27"/>
    <w:tbl>
      <w:tblPr>
        <w:tblStyle w:val="TableNormal"/>
        <w:tblCaption w:val="Table continues below"/>
      </w:tblPr>
      <w:tblGrid/>
      <w:tr>
        <w:tc>
          <w:tcPr>
            <w:tcBorders>
              <w:bottom w:val="single"/>
            </w:tcBorders>
            <w:vAlign w:val="bottom"/>
          </w:tcPr>
          <w:p>
            <w:pPr>
              <w:jc w:val="center"/>
            </w:pPr>
            <w:r>
              <w:t xml:space="preserve">Sepal.Length</w:t>
            </w:r>
          </w:p>
        </w:tc>
        <w:tc>
          <w:tcPr>
            <w:tcBorders>
              <w:bottom w:val="single"/>
            </w:tcBorders>
            <w:vAlign w:val="bottom"/>
          </w:tcPr>
          <w:p>
            <w:pPr>
              <w:jc w:val="center"/>
            </w:pPr>
            <w:r>
              <w:t xml:space="preserve">Sepal.Width</w:t>
            </w:r>
          </w:p>
        </w:tc>
        <w:tc>
          <w:tcPr>
            <w:tcBorders>
              <w:bottom w:val="single"/>
            </w:tcBorders>
            <w:vAlign w:val="bottom"/>
          </w:tcPr>
          <w:p>
            <w:pPr>
              <w:jc w:val="center"/>
            </w:pPr>
            <w:r>
              <w:t xml:space="preserve">Petal.Length</w:t>
            </w:r>
          </w:p>
        </w:tc>
        <w:tc>
          <w:tcPr>
            <w:tcBorders>
              <w:bottom w:val="single"/>
            </w:tcBorders>
            <w:vAlign w:val="bottom"/>
          </w:tcPr>
          <w:p>
            <w:pPr>
              <w:jc w:val="center"/>
            </w:pPr>
            <w:r>
              <w:t xml:space="preserve">Petal.Width</w:t>
            </w:r>
          </w:p>
        </w:tc>
      </w:tr>
      <w:tr>
        <w:tc>
          <w:p>
            <w:pPr>
              <w:jc w:val="center"/>
            </w:pPr>
            <w:r>
              <w:t xml:space="preserve">5.1</w:t>
            </w:r>
          </w:p>
        </w:tc>
        <w:tc>
          <w:p>
            <w:pPr>
              <w:jc w:val="center"/>
            </w:pPr>
            <w:r>
              <w:t xml:space="preserve">3.5</w:t>
            </w:r>
          </w:p>
        </w:tc>
        <w:tc>
          <w:p>
            <w:pPr>
              <w:jc w:val="center"/>
            </w:pPr>
            <w:r>
              <w:t xml:space="preserve">1.4</w:t>
            </w:r>
          </w:p>
        </w:tc>
        <w:tc>
          <w:p>
            <w:pPr>
              <w:jc w:val="center"/>
            </w:pPr>
            <w:r>
              <w:t xml:space="preserve">0.2</w:t>
            </w:r>
          </w:p>
        </w:tc>
      </w:tr>
      <w:tr>
        <w:tc>
          <w:p>
            <w:pPr>
              <w:jc w:val="center"/>
            </w:pPr>
            <w:r>
              <w:t xml:space="preserve">4.9</w:t>
            </w:r>
          </w:p>
        </w:tc>
        <w:tc>
          <w:p>
            <w:pPr>
              <w:jc w:val="center"/>
            </w:pPr>
            <w:r>
              <w:t xml:space="preserve">3</w:t>
            </w:r>
          </w:p>
        </w:tc>
        <w:tc>
          <w:p>
            <w:pPr>
              <w:jc w:val="center"/>
            </w:pPr>
            <w:r>
              <w:t xml:space="preserve">1.4</w:t>
            </w:r>
          </w:p>
        </w:tc>
        <w:tc>
          <w:p>
            <w:pPr>
              <w:jc w:val="center"/>
            </w:pPr>
            <w:r>
              <w:t xml:space="preserve">0.2</w:t>
            </w:r>
          </w:p>
        </w:tc>
      </w:tr>
      <w:tr>
        <w:tc>
          <w:p>
            <w:pPr>
              <w:jc w:val="center"/>
            </w:pPr>
            <w:r>
              <w:t xml:space="preserve">4.7</w:t>
            </w:r>
          </w:p>
        </w:tc>
        <w:tc>
          <w:p>
            <w:pPr>
              <w:jc w:val="center"/>
            </w:pPr>
            <w:r>
              <w:t xml:space="preserve">3.2</w:t>
            </w:r>
          </w:p>
        </w:tc>
        <w:tc>
          <w:p>
            <w:pPr>
              <w:jc w:val="center"/>
            </w:pPr>
            <w:r>
              <w:t xml:space="preserve">1.3</w:t>
            </w:r>
          </w:p>
        </w:tc>
        <w:tc>
          <w:p>
            <w:pPr>
              <w:jc w:val="center"/>
            </w:pPr>
            <w:r>
              <w:t xml:space="preserve">0.2</w:t>
            </w:r>
          </w:p>
        </w:tc>
      </w:tr>
      <w:tr>
        <w:tc>
          <w:p>
            <w:pPr>
              <w:jc w:val="center"/>
            </w:pPr>
            <w:r>
              <w:t xml:space="preserve">4.6</w:t>
            </w:r>
          </w:p>
        </w:tc>
        <w:tc>
          <w:p>
            <w:pPr>
              <w:jc w:val="center"/>
            </w:pPr>
            <w:r>
              <w:t xml:space="preserve">3.1</w:t>
            </w:r>
          </w:p>
        </w:tc>
        <w:tc>
          <w:p>
            <w:pPr>
              <w:jc w:val="center"/>
            </w:pPr>
            <w:r>
              <w:t xml:space="preserve">1.5</w:t>
            </w:r>
          </w:p>
        </w:tc>
        <w:tc>
          <w:p>
            <w:pPr>
              <w:jc w:val="center"/>
            </w:pPr>
            <w:r>
              <w:t xml:space="preserve">0.2</w:t>
            </w:r>
          </w:p>
        </w:tc>
      </w:tr>
      <w:tr>
        <w:tc>
          <w:p>
            <w:pPr>
              <w:jc w:val="center"/>
            </w:pPr>
            <w:r>
              <w:t xml:space="preserve">5</w:t>
            </w:r>
          </w:p>
        </w:tc>
        <w:tc>
          <w:p>
            <w:pPr>
              <w:jc w:val="center"/>
            </w:pPr>
            <w:r>
              <w:t xml:space="preserve">3.6</w:t>
            </w:r>
          </w:p>
        </w:tc>
        <w:tc>
          <w:p>
            <w:pPr>
              <w:jc w:val="center"/>
            </w:pPr>
            <w:r>
              <w:t xml:space="preserve">1.4</w:t>
            </w:r>
          </w:p>
        </w:tc>
        <w:tc>
          <w:p>
            <w:pPr>
              <w:jc w:val="center"/>
            </w:pPr>
            <w:r>
              <w:t xml:space="preserve">0.2</w:t>
            </w:r>
          </w:p>
        </w:tc>
      </w:tr>
      <w:tr>
        <w:tc>
          <w:p>
            <w:pPr>
              <w:jc w:val="center"/>
            </w:pPr>
            <w:r>
              <w:t xml:space="preserve">5.4</w:t>
            </w:r>
          </w:p>
        </w:tc>
        <w:tc>
          <w:p>
            <w:pPr>
              <w:jc w:val="center"/>
            </w:pPr>
            <w:r>
              <w:t xml:space="preserve">3.9</w:t>
            </w:r>
          </w:p>
        </w:tc>
        <w:tc>
          <w:p>
            <w:pPr>
              <w:jc w:val="center"/>
            </w:pPr>
            <w:r>
              <w:t xml:space="preserve">1.7</w:t>
            </w:r>
          </w:p>
        </w:tc>
        <w:tc>
          <w:p>
            <w:pPr>
              <w:jc w:val="center"/>
            </w:pPr>
            <w:r>
              <w:t xml:space="preserve">0.4</w:t>
            </w:r>
          </w:p>
        </w:tc>
      </w:tr>
    </w:tbl>
    <w:p>
      <w:pPr>
        <w:pStyle w:val="TableCaption"/>
      </w:pPr>
      <w:r>
        <w:t xml:space="preserve">Table continues below</w:t>
      </w:r>
    </w:p>
    <w:p>
      <w:r>
        <w:t xml:space="preserve">| Species | |:---------:| | setosa | | setosa | | setosa | | setosa | | setosa | | setosa |</w:t>
      </w:r>
    </w:p>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amet.[^5] [^5]: Vgl.</w:t>
      </w:r>
      <w:r>
        <w:t xml:space="preserve"> </w:t>
      </w:r>
      <w:hyperlink r:id="rId28">
        <w:r>
          <w:rPr>
            <w:rStyle w:val="Link"/>
          </w:rPr>
          <w:t xml:space="preserve">Chernobai et. al</w:t>
        </w:r>
      </w:hyperlink>
      <w:r>
        <w:t xml:space="preserve">.</w:t>
      </w:r>
    </w:p>
    <w:bookmarkStart w:id="29" w:name="plots"/>
    <w:p>
      <w:pPr>
        <w:pStyle w:val="Heading1"/>
      </w:pPr>
      <w:r>
        <w:t xml:space="preserve">Plots</w:t>
      </w:r>
    </w:p>
    <w:bookmarkEnd w:id="29"/>
    <w:p>
      <w:r>
        <w:drawing>
          <wp:inline>
            <wp:extent cx="5829300" cy="436880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30"/>
                    <a:stretch>
                      <a:fillRect/>
                    </a:stretch>
                  </pic:blipFill>
                  <pic:spPr bwMode="auto">
                    <a:xfrm>
                      <a:off x="0" y="0"/>
                      <a:ext cx="5829300" cy="4368800"/>
                    </a:xfrm>
                    <a:prstGeom prst="rect">
                      <a:avLst/>
                    </a:prstGeom>
                    <a:noFill/>
                    <a:ln w="9525">
                      <a:noFill/>
                      <a:headEnd/>
                      <a:tailEnd/>
                    </a:ln>
                  </pic:spPr>
                </pic:pic>
              </a:graphicData>
            </a:graphic>
          </wp:inline>
        </w:drawing>
      </w:r>
    </w:p>
    <w:p>
      <w:pPr>
        <w:pStyle w:val="ImageCaption"/>
      </w:pPr>
      <w:r>
        <w:t xml:space="preserve">plot of chunk unnamed-chunk-3</w:t>
      </w:r>
    </w:p>
    <w:bookmarkStart w:id="31" w:name="references"/>
    <w:p>
      <w:pPr>
        <w:pStyle w:val="Heading1"/>
      </w:pPr>
      <w:r>
        <w:t xml:space="preserve">References</w:t>
      </w:r>
    </w:p>
    <w:bookmarkEnd w:id="31"/>
    <w:p>
      <w:pPr>
        <w:numPr>
          <w:numId w:val="3"/>
          <w:ilvl w:val="0"/>
        </w:numPr>
      </w:pPr>
      <w:r>
        <w:rPr>
          <w:b/>
        </w:rPr>
        <w:t xml:space="preserve">BCBS 196</w:t>
      </w:r>
      <w:r>
        <w:t xml:space="preserve"> </w:t>
      </w:r>
      <w:r>
        <w:rPr>
          <w:i/>
        </w:rPr>
        <w:t xml:space="preserve">Operational Risk –- Supervisory Guidelines for the Advanced Measurement Approaches</w:t>
      </w:r>
      <w:r>
        <w:t xml:space="preserve">,</w:t>
      </w:r>
      <w:r>
        <w:t xml:space="preserve"> </w:t>
      </w:r>
      <w:hyperlink r:id="rId26">
        <w:r>
          <w:rPr>
            <w:rStyle w:val="Link"/>
          </w:rPr>
          <w:t xml:space="preserve">http://www.bis.org/publ/bcbs196.pdf</w:t>
        </w:r>
      </w:hyperlink>
    </w:p>
    <w:p>
      <w:pPr>
        <w:numPr>
          <w:numId w:val="3"/>
          <w:ilvl w:val="0"/>
        </w:numPr>
      </w:pPr>
      <w:r>
        <w:rPr>
          <w:b/>
        </w:rPr>
        <w:t xml:space="preserve">Chernobai et. al.</w:t>
      </w:r>
      <w:r>
        <w:t xml:space="preserve"> </w:t>
      </w:r>
      <w:r>
        <w:rPr>
          <w:i/>
        </w:rPr>
        <w:t xml:space="preserve">Composite Goodness-of-Fit Tests for Left-Truncated Loss Samples</w:t>
      </w:r>
      <w:r>
        <w:t xml:space="preserve"> </w:t>
      </w:r>
      <w:hyperlink r:id="rId28">
        <w:r>
          <w:rPr>
            <w:rStyle w:val="Link"/>
          </w:rPr>
          <w:t xml:space="preserve">http://statistik.econ.kit.edu/download/doc_secure1/tr_composite_goodness_tests.pdf</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Vgl.</w:t>
      </w:r>
      <w:r>
        <w:t xml:space="preserve"> </w:t>
      </w:r>
      <w:hyperlink r:id="rId26">
        <w:r>
          <w:rPr>
            <w:rStyle w:val="Link"/>
          </w:rPr>
          <w:t xml:space="preserve">BCBS 196</w:t>
        </w:r>
      </w:hyperlink>
    </w:p>
  </w:footnote>
</w:footnotes>
</file>

<file path=word/numbering.xml><?xml version="1.0" encoding="utf-8"?>
<w:numbering xmlns:w="http://schemas.openxmlformats.org/wordprocessingml/2006/main">
  <w:abstractNum w:abstractNumId="0">
    <w:nsid w:val="c2912e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c55d2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8" Target="http://statistik.econ.kit.edu/download/doc_secure1/tr_composite_goodness_tests.pdf" TargetMode="External" /><Relationship Type="http://schemas.openxmlformats.org/officeDocument/2006/relationships/hyperlink" Id="rId26" Target="http://www.bis.org/publ/bcbs196.pdf" TargetMode="External" /></Relationships>
</file>

<file path=word/_rels/footnotes.xml.rels><?xml version="1.0" encoding="UTF-8"?>
<Relationships xmlns="http://schemas.openxmlformats.org/package/2006/relationships"><Relationship Type="http://schemas.openxmlformats.org/officeDocument/2006/relationships/hyperlink" Id="rId28" Target="http://statistik.econ.kit.edu/download/doc_secure1/tr_composite_goodness_tests.pdf" TargetMode="External" /><Relationship Type="http://schemas.openxmlformats.org/officeDocument/2006/relationships/hyperlink" Id="rId26" Target="http://www.bis.org/publ/bcbs19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