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1FA" w:rsidRPr="00944D78" w:rsidRDefault="004E3D9B">
      <w:pPr>
        <w:spacing w:before="0" w:after="160" w:line="251" w:lineRule="auto"/>
        <w:jc w:val="center"/>
        <w:rPr>
          <w:color w:val="000000" w:themeColor="text1"/>
          <w:lang w:val="pt-BR"/>
        </w:rPr>
      </w:pPr>
      <w:r w:rsidRPr="00944D78">
        <w:rPr>
          <w:rFonts w:ascii="Times New Roman" w:hAnsi="Times New Roman"/>
          <w:b/>
          <w:color w:val="000000" w:themeColor="text1"/>
          <w:lang w:val="pt-BR"/>
        </w:rPr>
        <w:t>Aspectos demográficos e socioeconômicos dos adultos brasileiros e a COVID-19: uma análise dos grupos de risco a partir da Pesquisa Nacional de Saúde 2013</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Introdução</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COVID-19, doença </w:t>
      </w:r>
      <w:r w:rsidRPr="00944D78">
        <w:rPr>
          <w:rFonts w:ascii="Times New Roman" w:hAnsi="Times New Roman"/>
          <w:color w:val="000000" w:themeColor="text1"/>
          <w:lang w:val="pt-BR"/>
        </w:rPr>
        <w:t xml:space="preserve">causada pelo novo </w:t>
      </w:r>
      <w:proofErr w:type="spellStart"/>
      <w:r w:rsidRPr="00944D78">
        <w:rPr>
          <w:rFonts w:ascii="Times New Roman" w:hAnsi="Times New Roman"/>
          <w:color w:val="000000" w:themeColor="text1"/>
          <w:lang w:val="pt-BR"/>
        </w:rPr>
        <w:t>coronavírus</w:t>
      </w:r>
      <w:proofErr w:type="spellEnd"/>
      <w:r w:rsidRPr="00944D78">
        <w:rPr>
          <w:rFonts w:ascii="Times New Roman" w:hAnsi="Times New Roman"/>
          <w:color w:val="000000" w:themeColor="text1"/>
          <w:lang w:val="pt-BR"/>
        </w:rPr>
        <w:t xml:space="preserve"> SARS-CoV-2, foi declarada como pandemia pela Organização Mundial da Saúde (OMS) em 11 de Março de 2020</w:t>
      </w:r>
      <w:r w:rsidRPr="00944D78">
        <w:rPr>
          <w:rFonts w:ascii="Times New Roman" w:hAnsi="Times New Roman"/>
          <w:color w:val="000000" w:themeColor="text1"/>
          <w:vertAlign w:val="superscript"/>
          <w:lang w:val="pt-BR"/>
        </w:rPr>
        <w:t>1</w:t>
      </w:r>
      <w:r w:rsidRPr="00944D78">
        <w:rPr>
          <w:rFonts w:ascii="Times New Roman" w:hAnsi="Times New Roman"/>
          <w:color w:val="000000" w:themeColor="text1"/>
          <w:lang w:val="pt-BR"/>
        </w:rPr>
        <w:t>. O primeiro caso registrado no Brasil foi em 25 de fevereiro de 2020 e, em 30 de junho de 2020, o país era o segundo em nú</w:t>
      </w:r>
      <w:r w:rsidRPr="00944D78">
        <w:rPr>
          <w:rFonts w:ascii="Times New Roman" w:hAnsi="Times New Roman"/>
          <w:color w:val="000000" w:themeColor="text1"/>
          <w:lang w:val="pt-BR"/>
        </w:rPr>
        <w:t>mero de casos confirmados (1</w:t>
      </w:r>
      <w:r w:rsidRPr="00944D78">
        <w:rPr>
          <w:rFonts w:ascii="Times New Roman" w:hAnsi="Times New Roman"/>
          <w:color w:val="000000" w:themeColor="text1"/>
          <w:lang w:val="pt-BR"/>
        </w:rPr>
        <w:t>.</w:t>
      </w:r>
      <w:r w:rsidRPr="00944D78">
        <w:rPr>
          <w:rFonts w:ascii="Times New Roman" w:hAnsi="Times New Roman"/>
          <w:color w:val="000000" w:themeColor="text1"/>
          <w:lang w:val="pt-BR"/>
        </w:rPr>
        <w:t>402</w:t>
      </w:r>
      <w:r w:rsidRPr="00944D78">
        <w:rPr>
          <w:rFonts w:ascii="Times New Roman" w:hAnsi="Times New Roman"/>
          <w:color w:val="000000" w:themeColor="text1"/>
          <w:lang w:val="pt-BR"/>
        </w:rPr>
        <w:t>.</w:t>
      </w:r>
      <w:r w:rsidRPr="00944D78">
        <w:rPr>
          <w:rFonts w:ascii="Times New Roman" w:hAnsi="Times New Roman"/>
          <w:color w:val="000000" w:themeColor="text1"/>
          <w:lang w:val="pt-BR"/>
        </w:rPr>
        <w:t>041) e óbitos (59</w:t>
      </w:r>
      <w:r w:rsidRPr="00944D78">
        <w:rPr>
          <w:rFonts w:ascii="Times New Roman" w:hAnsi="Times New Roman"/>
          <w:color w:val="000000" w:themeColor="text1"/>
          <w:lang w:val="pt-BR"/>
        </w:rPr>
        <w:t>.</w:t>
      </w:r>
      <w:r w:rsidRPr="00944D78">
        <w:rPr>
          <w:rFonts w:ascii="Times New Roman" w:hAnsi="Times New Roman"/>
          <w:color w:val="000000" w:themeColor="text1"/>
          <w:lang w:val="pt-BR"/>
        </w:rPr>
        <w:t>594)</w:t>
      </w:r>
      <w:r w:rsidRPr="00944D78">
        <w:rPr>
          <w:rFonts w:ascii="Times New Roman" w:hAnsi="Times New Roman"/>
          <w:color w:val="000000" w:themeColor="text1"/>
          <w:vertAlign w:val="superscript"/>
          <w:lang w:val="pt-BR"/>
        </w:rPr>
        <w:t>2,3</w:t>
      </w:r>
      <w:r w:rsidRPr="00944D78">
        <w:rPr>
          <w:rFonts w:ascii="Times New Roman" w:hAnsi="Times New Roman"/>
          <w:color w:val="000000" w:themeColor="text1"/>
          <w:lang w:val="pt-BR"/>
        </w:rPr>
        <w:t>.</w:t>
      </w:r>
    </w:p>
    <w:p w:rsidR="00B601FA" w:rsidRPr="00944D78" w:rsidRDefault="004E3D9B">
      <w:pPr>
        <w:rPr>
          <w:color w:val="000000" w:themeColor="text1"/>
          <w:lang w:val="pt-BR"/>
        </w:rPr>
      </w:pPr>
      <w:r w:rsidRPr="00944D78">
        <w:rPr>
          <w:rFonts w:ascii="Times New Roman" w:hAnsi="Times New Roman"/>
          <w:color w:val="000000" w:themeColor="text1"/>
          <w:lang w:val="pt-BR"/>
        </w:rPr>
        <w:t>A pandemia de COVID-19 tem chamado a atenção de todo o mundo e suscitado debates acerca das estratégias de enfrentamento da doença, em que se destacam o distanciamento social, o fechamento de esco</w:t>
      </w:r>
      <w:r w:rsidRPr="00944D78">
        <w:rPr>
          <w:rFonts w:ascii="Times New Roman" w:hAnsi="Times New Roman"/>
          <w:color w:val="000000" w:themeColor="text1"/>
          <w:lang w:val="pt-BR"/>
        </w:rPr>
        <w:t xml:space="preserve">las e postos de trabalho, as medidas de higiene e de saúde das </w:t>
      </w:r>
      <w:r w:rsidRPr="00944D78">
        <w:rPr>
          <w:rFonts w:ascii="Times New Roman" w:hAnsi="Times New Roman"/>
          <w:color w:val="000000" w:themeColor="text1"/>
          <w:lang w:val="pt-BR"/>
        </w:rPr>
        <w:softHyphen/>
        <w:t>pessoas, o cancelamento de grandes eventos, entre outras</w:t>
      </w:r>
      <w:r w:rsidRPr="00944D78">
        <w:rPr>
          <w:rFonts w:ascii="Times New Roman" w:hAnsi="Times New Roman"/>
          <w:color w:val="000000" w:themeColor="text1"/>
          <w:vertAlign w:val="superscript"/>
          <w:lang w:val="pt-BR"/>
        </w:rPr>
        <w:t>4–7</w:t>
      </w:r>
      <w:r w:rsidRPr="00944D78">
        <w:rPr>
          <w:rFonts w:ascii="Times New Roman" w:hAnsi="Times New Roman"/>
          <w:color w:val="000000" w:themeColor="text1"/>
          <w:lang w:val="pt-BR"/>
        </w:rPr>
        <w:t>. No Brasil, a partir da segunda quinzena de março, ações referentes ao distanciamento social da população e a interrupção de ativida</w:t>
      </w:r>
      <w:r w:rsidRPr="00944D78">
        <w:rPr>
          <w:rFonts w:ascii="Times New Roman" w:hAnsi="Times New Roman"/>
          <w:color w:val="000000" w:themeColor="text1"/>
          <w:lang w:val="pt-BR"/>
        </w:rPr>
        <w:t>des econômicas não essenciais, propostas pelas autoridades sanitárias nacionais e globais,  foram implementadas pela maioria dos governos subnacionais como medida fundamental para a redução da velocidade de transmissão da doença</w:t>
      </w:r>
      <w:r w:rsidRPr="00944D78">
        <w:rPr>
          <w:rFonts w:ascii="Times New Roman" w:hAnsi="Times New Roman"/>
          <w:color w:val="000000" w:themeColor="text1"/>
          <w:vertAlign w:val="superscript"/>
          <w:lang w:val="pt-BR"/>
        </w:rPr>
        <w:t>8</w:t>
      </w:r>
      <w:r w:rsidRPr="00944D78">
        <w:rPr>
          <w:rFonts w:ascii="Times New Roman" w:hAnsi="Times New Roman"/>
          <w:color w:val="000000" w:themeColor="text1"/>
          <w:lang w:val="pt-BR"/>
        </w:rPr>
        <w:t>. Tais medidas têm sido obj</w:t>
      </w:r>
      <w:r w:rsidRPr="00944D78">
        <w:rPr>
          <w:rFonts w:ascii="Times New Roman" w:hAnsi="Times New Roman"/>
          <w:color w:val="000000" w:themeColor="text1"/>
          <w:lang w:val="pt-BR"/>
        </w:rPr>
        <w:t>eto de debate político, particularmente após o posicionamento contrário do Presidente da República ao distanciamento social</w:t>
      </w:r>
      <w:r w:rsidRPr="00944D78">
        <w:rPr>
          <w:rFonts w:ascii="Times New Roman" w:hAnsi="Times New Roman"/>
          <w:color w:val="000000" w:themeColor="text1"/>
          <w:vertAlign w:val="superscript"/>
          <w:lang w:val="pt-BR"/>
        </w:rPr>
        <w:t>9</w:t>
      </w:r>
      <w:r w:rsidRPr="00944D78">
        <w:rPr>
          <w:rFonts w:ascii="Times New Roman" w:hAnsi="Times New Roman"/>
          <w:color w:val="000000" w:themeColor="text1"/>
          <w:lang w:val="pt-BR"/>
        </w:rPr>
        <w:t>. Em diversas manifestações, o Presidente clamou pela “volta à normalidade”, sugeriu a retomada do funcionamento das escolas e das a</w:t>
      </w:r>
      <w:r w:rsidRPr="00944D78">
        <w:rPr>
          <w:rFonts w:ascii="Times New Roman" w:hAnsi="Times New Roman"/>
          <w:color w:val="000000" w:themeColor="text1"/>
          <w:lang w:val="pt-BR"/>
        </w:rPr>
        <w:t>tividades laborais, defendendo a adoção de uma estratégia de “isolamento vertical”</w:t>
      </w:r>
      <w:r w:rsidRPr="00944D78">
        <w:rPr>
          <w:rFonts w:ascii="Times New Roman" w:hAnsi="Times New Roman"/>
          <w:color w:val="000000" w:themeColor="text1"/>
          <w:vertAlign w:val="superscript"/>
          <w:lang w:val="pt-BR"/>
        </w:rPr>
        <w:t>10</w:t>
      </w:r>
      <w:r w:rsidRPr="00944D78">
        <w:rPr>
          <w:rFonts w:ascii="Times New Roman" w:hAnsi="Times New Roman"/>
          <w:color w:val="000000" w:themeColor="text1"/>
          <w:lang w:val="pt-BR"/>
        </w:rPr>
        <w:t>. Esse termo, tradução do inglês “</w:t>
      </w:r>
      <w:r w:rsidRPr="00944D78">
        <w:rPr>
          <w:rFonts w:ascii="Times New Roman" w:hAnsi="Times New Roman"/>
          <w:i/>
          <w:color w:val="000000" w:themeColor="text1"/>
          <w:lang w:val="pt-BR"/>
        </w:rPr>
        <w:t xml:space="preserve">vertical </w:t>
      </w:r>
      <w:proofErr w:type="spellStart"/>
      <w:r w:rsidRPr="00944D78">
        <w:rPr>
          <w:rFonts w:ascii="Times New Roman" w:hAnsi="Times New Roman"/>
          <w:i/>
          <w:color w:val="000000" w:themeColor="text1"/>
          <w:lang w:val="pt-BR"/>
        </w:rPr>
        <w:t>interdiction</w:t>
      </w:r>
      <w:proofErr w:type="spellEnd"/>
      <w:r w:rsidRPr="00944D78">
        <w:rPr>
          <w:rFonts w:ascii="Times New Roman" w:hAnsi="Times New Roman"/>
          <w:color w:val="000000" w:themeColor="text1"/>
          <w:lang w:val="pt-BR"/>
        </w:rPr>
        <w:t>”, não está bem situado na literatura científica sobre o tema e foi proposto em artigo que discute tais políticas nos</w:t>
      </w:r>
      <w:r w:rsidRPr="00944D78">
        <w:rPr>
          <w:rFonts w:ascii="Times New Roman" w:hAnsi="Times New Roman"/>
          <w:color w:val="000000" w:themeColor="text1"/>
          <w:lang w:val="pt-BR"/>
        </w:rPr>
        <w:t xml:space="preserve"> Estados Unidos</w:t>
      </w:r>
      <w:r w:rsidRPr="00944D78">
        <w:rPr>
          <w:rFonts w:ascii="Times New Roman" w:hAnsi="Times New Roman"/>
          <w:color w:val="000000" w:themeColor="text1"/>
          <w:vertAlign w:val="superscript"/>
          <w:lang w:val="pt-BR"/>
        </w:rPr>
        <w:t>11</w:t>
      </w:r>
      <w:r w:rsidRPr="00944D78">
        <w:rPr>
          <w:rFonts w:ascii="Times New Roman" w:hAnsi="Times New Roman"/>
          <w:color w:val="000000" w:themeColor="text1"/>
          <w:lang w:val="pt-BR"/>
        </w:rPr>
        <w:t>. Apesar de não estar totalmente claro o que se pretende com tal estratégia, nem que outras medidas estariam combinadas a ela, a ideia geral é propor o isolamento social somente das pessoas de 60 anos ou mais e aquelas com condições médica</w:t>
      </w:r>
      <w:r w:rsidRPr="00944D78">
        <w:rPr>
          <w:rFonts w:ascii="Times New Roman" w:hAnsi="Times New Roman"/>
          <w:color w:val="000000" w:themeColor="text1"/>
          <w:lang w:val="pt-BR"/>
        </w:rPr>
        <w:t>s pré-existentes.</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O debate sobre a gravidade da pandemia e possíveis medidas para o seu enfrentamento está conectado com as evidências de que o </w:t>
      </w:r>
      <w:proofErr w:type="spellStart"/>
      <w:r w:rsidRPr="00944D78">
        <w:rPr>
          <w:rFonts w:ascii="Times New Roman" w:hAnsi="Times New Roman"/>
          <w:color w:val="000000" w:themeColor="text1"/>
          <w:lang w:val="pt-BR"/>
        </w:rPr>
        <w:t>coronavírus</w:t>
      </w:r>
      <w:proofErr w:type="spellEnd"/>
      <w:r w:rsidRPr="00944D78">
        <w:rPr>
          <w:rFonts w:ascii="Times New Roman" w:hAnsi="Times New Roman"/>
          <w:color w:val="000000" w:themeColor="text1"/>
          <w:lang w:val="pt-BR"/>
        </w:rPr>
        <w:t xml:space="preserve"> infecta pessoas de todas as idades, mas dois grupos de pessoas correm um risco maior de ter complica</w:t>
      </w:r>
      <w:r w:rsidRPr="00944D78">
        <w:rPr>
          <w:rFonts w:ascii="Times New Roman" w:hAnsi="Times New Roman"/>
          <w:color w:val="000000" w:themeColor="text1"/>
          <w:lang w:val="pt-BR"/>
        </w:rPr>
        <w:t>ções graves da COVID-19: idosos e aqueles com condições médicas pré-existentes</w:t>
      </w:r>
      <w:r w:rsidRPr="00944D78">
        <w:rPr>
          <w:rFonts w:ascii="Times New Roman" w:hAnsi="Times New Roman"/>
          <w:color w:val="000000" w:themeColor="text1"/>
          <w:vertAlign w:val="superscript"/>
          <w:lang w:val="pt-BR"/>
        </w:rPr>
        <w:t>1</w:t>
      </w:r>
      <w:r w:rsidRPr="00944D78">
        <w:rPr>
          <w:rFonts w:ascii="Times New Roman" w:hAnsi="Times New Roman"/>
          <w:color w:val="000000" w:themeColor="text1"/>
          <w:lang w:val="pt-BR"/>
        </w:rPr>
        <w:t xml:space="preserve">. Os dados disponíveis até o momento apontam que a letalidade pelo novo </w:t>
      </w:r>
      <w:proofErr w:type="spellStart"/>
      <w:r w:rsidRPr="00944D78">
        <w:rPr>
          <w:rFonts w:ascii="Times New Roman" w:hAnsi="Times New Roman"/>
          <w:color w:val="000000" w:themeColor="text1"/>
          <w:lang w:val="pt-BR"/>
        </w:rPr>
        <w:t>coronavírus</w:t>
      </w:r>
      <w:proofErr w:type="spellEnd"/>
      <w:r w:rsidRPr="00944D78">
        <w:rPr>
          <w:rFonts w:ascii="Times New Roman" w:hAnsi="Times New Roman"/>
          <w:color w:val="000000" w:themeColor="text1"/>
          <w:lang w:val="pt-BR"/>
        </w:rPr>
        <w:t xml:space="preserve"> é maior entre os idosos, especialmente aqueles com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como hipertensão, doenças car</w:t>
      </w:r>
      <w:r w:rsidRPr="00944D78">
        <w:rPr>
          <w:rFonts w:ascii="Times New Roman" w:hAnsi="Times New Roman"/>
          <w:color w:val="000000" w:themeColor="text1"/>
          <w:lang w:val="pt-BR"/>
        </w:rPr>
        <w:t>díacas, diabetes e doenças respiratórias. Contudo, ainda que a mortalidade seja relativamente mais baixa entre os mais jovens, é importante a contribuição de jovens com condições médicas pré-existentes em complicações e consequentes internações hospitalare</w:t>
      </w:r>
      <w:r w:rsidRPr="00944D78">
        <w:rPr>
          <w:rFonts w:ascii="Times New Roman" w:hAnsi="Times New Roman"/>
          <w:color w:val="000000" w:themeColor="text1"/>
          <w:lang w:val="pt-BR"/>
        </w:rPr>
        <w:t>s em vários países</w:t>
      </w:r>
      <w:r w:rsidRPr="00944D78">
        <w:rPr>
          <w:rFonts w:ascii="Times New Roman" w:hAnsi="Times New Roman"/>
          <w:color w:val="000000" w:themeColor="text1"/>
          <w:vertAlign w:val="superscript"/>
          <w:lang w:val="pt-BR"/>
        </w:rPr>
        <w:t>12–16</w:t>
      </w:r>
      <w:r w:rsidRPr="00944D78">
        <w:rPr>
          <w:rFonts w:ascii="Times New Roman" w:hAnsi="Times New Roman"/>
          <w:color w:val="000000" w:themeColor="text1"/>
          <w:lang w:val="pt-BR"/>
        </w:rPr>
        <w:t xml:space="preserve">  e também no Brasil</w:t>
      </w:r>
      <w:r w:rsidRPr="00944D78">
        <w:rPr>
          <w:rFonts w:ascii="Times New Roman" w:hAnsi="Times New Roman"/>
          <w:color w:val="000000" w:themeColor="text1"/>
          <w:vertAlign w:val="superscript"/>
          <w:lang w:val="pt-BR"/>
        </w:rPr>
        <w:t>17</w:t>
      </w:r>
      <w:r w:rsidRPr="00944D78">
        <w:rPr>
          <w:rFonts w:ascii="Times New Roman" w:hAnsi="Times New Roman"/>
          <w:color w:val="000000" w:themeColor="text1"/>
          <w:lang w:val="pt-BR"/>
        </w:rPr>
        <w:t>, gerando maior comprometimento dos finitos recursos, como profissionais de saúde, leitos de Unidade de Terapia Intensiva (UTI) e respiradores, que são, ainda, desigualmente distribuídos em termos regionais e so</w:t>
      </w:r>
      <w:r w:rsidRPr="00944D78">
        <w:rPr>
          <w:rFonts w:ascii="Times New Roman" w:hAnsi="Times New Roman"/>
          <w:color w:val="000000" w:themeColor="text1"/>
          <w:lang w:val="pt-BR"/>
        </w:rPr>
        <w:t>ciais</w:t>
      </w:r>
      <w:r w:rsidRPr="00944D78">
        <w:rPr>
          <w:rFonts w:ascii="Times New Roman" w:hAnsi="Times New Roman"/>
          <w:color w:val="000000" w:themeColor="text1"/>
          <w:vertAlign w:val="superscript"/>
          <w:lang w:val="pt-BR"/>
        </w:rPr>
        <w:t>18</w:t>
      </w:r>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lastRenderedPageBreak/>
        <w:t>Do embate político colocado por concepções antagônicas sobre a condução do país frente à pandemia e, consequentemente, sobre papel do Estado na vida da população, surgem questões a serem avaliadas, a partir  das informações disponíveis, para o con</w:t>
      </w:r>
      <w:r w:rsidRPr="00944D78">
        <w:rPr>
          <w:rFonts w:ascii="Times New Roman" w:hAnsi="Times New Roman"/>
          <w:color w:val="000000" w:themeColor="text1"/>
          <w:lang w:val="pt-BR"/>
        </w:rPr>
        <w:t>hecimento dessa nova realidade relativa à saúde dos brasileiros.</w:t>
      </w:r>
    </w:p>
    <w:p w:rsidR="00B601FA" w:rsidRPr="00944D78" w:rsidRDefault="004E3D9B">
      <w:pPr>
        <w:rPr>
          <w:color w:val="000000" w:themeColor="text1"/>
          <w:lang w:val="pt-BR"/>
        </w:rPr>
      </w:pPr>
      <w:r w:rsidRPr="00944D78">
        <w:rPr>
          <w:rFonts w:ascii="Times New Roman" w:hAnsi="Times New Roman"/>
          <w:color w:val="000000" w:themeColor="text1"/>
          <w:lang w:val="pt-BR"/>
        </w:rPr>
        <w:t>Estudos têm reportado diferenciais regionais e socioeconômicos em relação aos grupos de risco para a COVID-19 no Brasil, como maior incidência dos fatores de risco entre os menos escolarizado</w:t>
      </w:r>
      <w:r w:rsidRPr="00944D78">
        <w:rPr>
          <w:rFonts w:ascii="Times New Roman" w:hAnsi="Times New Roman"/>
          <w:color w:val="000000" w:themeColor="text1"/>
          <w:lang w:val="pt-BR"/>
        </w:rPr>
        <w:t>s</w:t>
      </w:r>
      <w:r w:rsidRPr="00944D78">
        <w:rPr>
          <w:rFonts w:ascii="Times New Roman" w:hAnsi="Times New Roman"/>
          <w:color w:val="000000" w:themeColor="text1"/>
          <w:vertAlign w:val="superscript"/>
          <w:lang w:val="pt-BR"/>
        </w:rPr>
        <w:t>19,20</w:t>
      </w:r>
      <w:r w:rsidRPr="00944D78">
        <w:rPr>
          <w:rFonts w:ascii="Times New Roman" w:hAnsi="Times New Roman"/>
          <w:color w:val="000000" w:themeColor="text1"/>
          <w:lang w:val="pt-BR"/>
        </w:rPr>
        <w:t>. Alguns trabalhos anteriores descrevem e caracterizam fatores de risco associados à COVID-19, como hipertensão arterial</w:t>
      </w:r>
      <w:r w:rsidRPr="00944D78">
        <w:rPr>
          <w:rFonts w:ascii="Times New Roman" w:hAnsi="Times New Roman"/>
          <w:color w:val="000000" w:themeColor="text1"/>
          <w:vertAlign w:val="superscript"/>
          <w:lang w:val="pt-BR"/>
        </w:rPr>
        <w:t>21,22</w:t>
      </w:r>
      <w:r w:rsidRPr="00944D78">
        <w:rPr>
          <w:rFonts w:ascii="Times New Roman" w:hAnsi="Times New Roman"/>
          <w:color w:val="000000" w:themeColor="text1"/>
          <w:lang w:val="pt-BR"/>
        </w:rPr>
        <w:t xml:space="preserve"> e diabetes</w:t>
      </w:r>
      <w:r w:rsidRPr="00944D78">
        <w:rPr>
          <w:rFonts w:ascii="Times New Roman" w:hAnsi="Times New Roman"/>
          <w:color w:val="000000" w:themeColor="text1"/>
          <w:vertAlign w:val="superscript"/>
          <w:lang w:val="pt-BR"/>
        </w:rPr>
        <w:t>23,24</w:t>
      </w:r>
      <w:r w:rsidRPr="00944D78">
        <w:rPr>
          <w:rFonts w:ascii="Times New Roman" w:hAnsi="Times New Roman"/>
          <w:color w:val="000000" w:themeColor="text1"/>
          <w:lang w:val="pt-BR"/>
        </w:rPr>
        <w:t>. É importante, então, avaliar conjuntamente essas questões, bem como expandir o entendimento sobre como se r</w:t>
      </w:r>
      <w:r w:rsidRPr="00944D78">
        <w:rPr>
          <w:rFonts w:ascii="Times New Roman" w:hAnsi="Times New Roman"/>
          <w:color w:val="000000" w:themeColor="text1"/>
          <w:lang w:val="pt-BR"/>
        </w:rPr>
        <w:t xml:space="preserve">elacionam as características </w:t>
      </w:r>
      <w:proofErr w:type="spellStart"/>
      <w:r w:rsidRPr="00944D78">
        <w:rPr>
          <w:rFonts w:ascii="Times New Roman" w:hAnsi="Times New Roman"/>
          <w:color w:val="000000" w:themeColor="text1"/>
          <w:lang w:val="pt-BR"/>
        </w:rPr>
        <w:t>sociodemográficas</w:t>
      </w:r>
      <w:proofErr w:type="spellEnd"/>
      <w:r w:rsidRPr="00944D78">
        <w:rPr>
          <w:rFonts w:ascii="Times New Roman" w:hAnsi="Times New Roman"/>
          <w:color w:val="000000" w:themeColor="text1"/>
          <w:lang w:val="pt-BR"/>
        </w:rPr>
        <w:t xml:space="preserve"> da população e as chances de pertencimento ao grupo de risco. Além disso, nesse contexto de combate a uma doença infecciosa com alta transmissibilidade</w:t>
      </w:r>
      <w:r w:rsidRPr="00944D78">
        <w:rPr>
          <w:rFonts w:ascii="Times New Roman" w:hAnsi="Times New Roman"/>
          <w:color w:val="000000" w:themeColor="text1"/>
          <w:vertAlign w:val="superscript"/>
          <w:lang w:val="pt-BR"/>
        </w:rPr>
        <w:t>25</w:t>
      </w:r>
      <w:r w:rsidRPr="00944D78">
        <w:rPr>
          <w:rFonts w:ascii="Times New Roman" w:hAnsi="Times New Roman"/>
          <w:color w:val="000000" w:themeColor="text1"/>
          <w:lang w:val="pt-BR"/>
        </w:rPr>
        <w:t>, entende-se que o domicílio é uma importante unidade de</w:t>
      </w:r>
      <w:r w:rsidRPr="00944D78">
        <w:rPr>
          <w:rFonts w:ascii="Times New Roman" w:hAnsi="Times New Roman"/>
          <w:color w:val="000000" w:themeColor="text1"/>
          <w:lang w:val="pt-BR"/>
        </w:rPr>
        <w:t xml:space="preserve"> análise e há uma lacuna na literatura a esse respeito.</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O melhor entendimento da estrutura socioeconômica e da composição dos domicílios associados aos grupos de risco, é fundamental para o enfrentamento da pandemia. A fim de subsidiar tais discussões, est</w:t>
      </w:r>
      <w:r w:rsidRPr="00944D78">
        <w:rPr>
          <w:rFonts w:ascii="Times New Roman" w:hAnsi="Times New Roman"/>
          <w:color w:val="000000" w:themeColor="text1"/>
          <w:lang w:val="pt-BR"/>
        </w:rPr>
        <w:t xml:space="preserve">e trabalho tem dois objetivos principais: descrever os grupos de risco para COVID-19 em função de características demográficas e socioeconômicas e, de posse dessas estimativas, simular e caracterizar o número de indivíduos que estariam convivendo no mesmo </w:t>
      </w:r>
      <w:r w:rsidRPr="00944D78">
        <w:rPr>
          <w:rFonts w:ascii="Times New Roman" w:hAnsi="Times New Roman"/>
          <w:color w:val="000000" w:themeColor="text1"/>
          <w:lang w:val="pt-BR"/>
        </w:rPr>
        <w:t>domicílio com pessoas no grupo de risco.</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Métodos</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Este trabalho utiliza os </w:t>
      </w:r>
      <w:proofErr w:type="spellStart"/>
      <w:r w:rsidRPr="00944D78">
        <w:rPr>
          <w:rFonts w:ascii="Times New Roman" w:hAnsi="Times New Roman"/>
          <w:color w:val="000000" w:themeColor="text1"/>
          <w:lang w:val="pt-BR"/>
        </w:rPr>
        <w:t>microdados</w:t>
      </w:r>
      <w:proofErr w:type="spellEnd"/>
      <w:r w:rsidRPr="00944D78">
        <w:rPr>
          <w:rFonts w:ascii="Times New Roman" w:hAnsi="Times New Roman"/>
          <w:color w:val="000000" w:themeColor="text1"/>
          <w:lang w:val="pt-BR"/>
        </w:rPr>
        <w:t xml:space="preserve"> da Pesquisa Nacional de Saúde 2013 (PNS). A PNS é uma pesquisa domiciliar nacional realizada em 2013 pelo IBGE e pelo Ministério da Saúde, por meio de entrevista </w:t>
      </w:r>
      <w:r w:rsidRPr="00944D78">
        <w:rPr>
          <w:rFonts w:ascii="Times New Roman" w:hAnsi="Times New Roman"/>
          <w:color w:val="000000" w:themeColor="text1"/>
          <w:lang w:val="pt-BR"/>
        </w:rPr>
        <w:t xml:space="preserve">presencial assistida por um dispositivo móvel de coleta. A amostra da PNS foi selecionada por meio de amostragem conglomerada em três estágios: i) setores censitários ou conjunto de setores; </w:t>
      </w:r>
      <w:proofErr w:type="spellStart"/>
      <w:r w:rsidRPr="00944D78">
        <w:rPr>
          <w:rFonts w:ascii="Times New Roman" w:hAnsi="Times New Roman"/>
          <w:color w:val="000000" w:themeColor="text1"/>
          <w:lang w:val="pt-BR"/>
        </w:rPr>
        <w:t>ii</w:t>
      </w:r>
      <w:proofErr w:type="spellEnd"/>
      <w:r w:rsidRPr="00944D78">
        <w:rPr>
          <w:rFonts w:ascii="Times New Roman" w:hAnsi="Times New Roman"/>
          <w:color w:val="000000" w:themeColor="text1"/>
          <w:lang w:val="pt-BR"/>
        </w:rPr>
        <w:t xml:space="preserve">) domicílios; </w:t>
      </w:r>
      <w:proofErr w:type="spellStart"/>
      <w:r w:rsidRPr="00944D78">
        <w:rPr>
          <w:rFonts w:ascii="Times New Roman" w:hAnsi="Times New Roman"/>
          <w:color w:val="000000" w:themeColor="text1"/>
          <w:lang w:val="pt-BR"/>
        </w:rPr>
        <w:t>iii</w:t>
      </w:r>
      <w:proofErr w:type="spellEnd"/>
      <w:r w:rsidRPr="00944D78">
        <w:rPr>
          <w:rFonts w:ascii="Times New Roman" w:hAnsi="Times New Roman"/>
          <w:color w:val="000000" w:themeColor="text1"/>
          <w:lang w:val="pt-BR"/>
        </w:rPr>
        <w:t>) moradores com 18 anos ou mais. A PNS tem trê</w:t>
      </w:r>
      <w:r w:rsidRPr="00944D78">
        <w:rPr>
          <w:rFonts w:ascii="Times New Roman" w:hAnsi="Times New Roman"/>
          <w:color w:val="000000" w:themeColor="text1"/>
          <w:lang w:val="pt-BR"/>
        </w:rPr>
        <w:t>s questionários, sendo os dois primeiros referentes a perguntas sobre características do domicílio, situação socioeconômica e algumas questões de saúde de todos os moradores. Perguntas específicas com foco em morbidade e estilos de vida foram realizadas ap</w:t>
      </w:r>
      <w:r w:rsidRPr="00944D78">
        <w:rPr>
          <w:rFonts w:ascii="Times New Roman" w:hAnsi="Times New Roman"/>
          <w:color w:val="000000" w:themeColor="text1"/>
          <w:lang w:val="pt-BR"/>
        </w:rPr>
        <w:t>enas a um morador de 18 anos ou mais de idade, selecionado aleatoriamente no terceiro estágio da amostragem</w:t>
      </w:r>
      <w:r w:rsidRPr="00944D78">
        <w:rPr>
          <w:rFonts w:ascii="Times New Roman" w:hAnsi="Times New Roman"/>
          <w:color w:val="000000" w:themeColor="text1"/>
          <w:vertAlign w:val="superscript"/>
          <w:lang w:val="pt-BR"/>
        </w:rPr>
        <w:t>26–28</w:t>
      </w:r>
      <w:r w:rsidRPr="00944D78">
        <w:rPr>
          <w:rFonts w:ascii="Times New Roman" w:hAnsi="Times New Roman"/>
          <w:color w:val="000000" w:themeColor="text1"/>
          <w:lang w:val="pt-BR"/>
        </w:rPr>
        <w:t>. Foram realizadas entrevistas em 64.348 domicílios com 205.546 moradores, dos quais 60.202 eram moradores com 18 anos ou mais que responderam a</w:t>
      </w:r>
      <w:r w:rsidRPr="00944D78">
        <w:rPr>
          <w:rFonts w:ascii="Times New Roman" w:hAnsi="Times New Roman"/>
          <w:color w:val="000000" w:themeColor="text1"/>
          <w:lang w:val="pt-BR"/>
        </w:rPr>
        <w:t>o questionário individual.</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PNS, além de variáveis demográficas e socioeconômicas, fornece importantes informações sobre doenças crônicas não transmissíveis, algumas das quais têm sido apontadas como importantes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associadas à COVID-19</w:t>
      </w:r>
      <w:r w:rsidRPr="00944D78">
        <w:rPr>
          <w:rFonts w:ascii="Times New Roman" w:hAnsi="Times New Roman"/>
          <w:color w:val="000000" w:themeColor="text1"/>
          <w:vertAlign w:val="superscript"/>
          <w:lang w:val="pt-BR"/>
        </w:rPr>
        <w:t>13,29–31</w:t>
      </w:r>
      <w:r w:rsidRPr="00944D78">
        <w:rPr>
          <w:rFonts w:ascii="Times New Roman" w:hAnsi="Times New Roman"/>
          <w:color w:val="000000" w:themeColor="text1"/>
          <w:lang w:val="pt-BR"/>
        </w:rPr>
        <w:t>.</w:t>
      </w:r>
      <w:r w:rsidRPr="00944D78">
        <w:rPr>
          <w:rFonts w:ascii="Times New Roman" w:hAnsi="Times New Roman"/>
          <w:color w:val="000000" w:themeColor="text1"/>
          <w:lang w:val="pt-BR"/>
        </w:rPr>
        <w:t xml:space="preserve"> Para o morador selecionado, foram feitas também aferições de peso, altura e pressão arterial, o que permite o cálculo de medidas de obesidade e hipertensão arterial. </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lastRenderedPageBreak/>
        <w:t xml:space="preserve">Este trabalho utiliza como critério para pertencimento ao “grupo de risco por condições </w:t>
      </w:r>
      <w:r w:rsidRPr="00944D78">
        <w:rPr>
          <w:rFonts w:ascii="Times New Roman" w:hAnsi="Times New Roman"/>
          <w:color w:val="000000" w:themeColor="text1"/>
          <w:lang w:val="pt-BR"/>
        </w:rPr>
        <w:t xml:space="preserve">pré-existentes” a existência de pelo menos uma das seguintes condições: pessoas que referiram ter diagnóstico médico de diabetes, doença do coração, asma, doença pulmonar ou insuficiência renal crônica; pessoas com condição de obesidade mórbida (IMC maior </w:t>
      </w:r>
      <w:r w:rsidRPr="00944D78">
        <w:rPr>
          <w:rFonts w:ascii="Times New Roman" w:hAnsi="Times New Roman"/>
          <w:color w:val="000000" w:themeColor="text1"/>
          <w:lang w:val="pt-BR"/>
        </w:rPr>
        <w:t xml:space="preserve">do que 40,0 Kg/m); pessoas com hipertensão arterial medida pela pesquisa maior ou igual a 140 mmHg/90 mmHg ou uso medicamentos por causa da hipertensão arterial. </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PNS mostra resultados próximos da prevalência de hipertensão arterial decorrentes de dados </w:t>
      </w:r>
      <w:proofErr w:type="spellStart"/>
      <w:r w:rsidRPr="00944D78">
        <w:rPr>
          <w:rFonts w:ascii="Times New Roman" w:hAnsi="Times New Roman"/>
          <w:color w:val="000000" w:themeColor="text1"/>
          <w:lang w:val="pt-BR"/>
        </w:rPr>
        <w:t>autorreferidos</w:t>
      </w:r>
      <w:proofErr w:type="spellEnd"/>
      <w:r w:rsidRPr="00944D78">
        <w:rPr>
          <w:rFonts w:ascii="Times New Roman" w:hAnsi="Times New Roman"/>
          <w:color w:val="000000" w:themeColor="text1"/>
          <w:lang w:val="pt-BR"/>
        </w:rPr>
        <w:t xml:space="preserve"> ou medidos</w:t>
      </w:r>
      <w:r w:rsidRPr="00944D78">
        <w:rPr>
          <w:rFonts w:ascii="Times New Roman" w:hAnsi="Times New Roman"/>
          <w:color w:val="000000" w:themeColor="text1"/>
          <w:vertAlign w:val="superscript"/>
          <w:lang w:val="pt-BR"/>
        </w:rPr>
        <w:t>21</w:t>
      </w:r>
      <w:r w:rsidRPr="00944D78">
        <w:rPr>
          <w:rFonts w:ascii="Times New Roman" w:hAnsi="Times New Roman"/>
          <w:color w:val="000000" w:themeColor="text1"/>
          <w:lang w:val="pt-BR"/>
        </w:rPr>
        <w:t xml:space="preserve">. Optou-se, neste trabalho, por adotar o segundo critério, mas os resultados foram replicados também adotando o critério que considera a hipertensão arterial </w:t>
      </w:r>
      <w:proofErr w:type="spellStart"/>
      <w:r w:rsidRPr="00944D78">
        <w:rPr>
          <w:rFonts w:ascii="Times New Roman" w:hAnsi="Times New Roman"/>
          <w:color w:val="000000" w:themeColor="text1"/>
          <w:lang w:val="pt-BR"/>
        </w:rPr>
        <w:t>autorreferida</w:t>
      </w:r>
      <w:proofErr w:type="spellEnd"/>
      <w:r w:rsidRPr="00944D78">
        <w:rPr>
          <w:rFonts w:ascii="Times New Roman" w:hAnsi="Times New Roman"/>
          <w:color w:val="000000" w:themeColor="text1"/>
          <w:lang w:val="pt-BR"/>
        </w:rPr>
        <w:t>, e estão disponíveis em material suplementar no repositór</w:t>
      </w:r>
      <w:r w:rsidRPr="00944D78">
        <w:rPr>
          <w:rFonts w:ascii="Times New Roman" w:hAnsi="Times New Roman"/>
          <w:color w:val="000000" w:themeColor="text1"/>
          <w:lang w:val="pt-BR"/>
        </w:rPr>
        <w:t xml:space="preserve">io do </w:t>
      </w:r>
      <w:proofErr w:type="spellStart"/>
      <w:r w:rsidRPr="00944D78">
        <w:rPr>
          <w:rFonts w:ascii="Times New Roman" w:hAnsi="Times New Roman"/>
          <w:i/>
          <w:color w:val="000000" w:themeColor="text1"/>
          <w:lang w:val="pt-BR"/>
        </w:rPr>
        <w:t>Github</w:t>
      </w:r>
      <w:proofErr w:type="spellEnd"/>
      <w:r w:rsidRPr="00944D78">
        <w:rPr>
          <w:rFonts w:ascii="Times New Roman" w:hAnsi="Times New Roman"/>
          <w:color w:val="000000" w:themeColor="text1"/>
          <w:lang w:val="pt-BR"/>
        </w:rPr>
        <w:t>.</w:t>
      </w:r>
    </w:p>
    <w:p w:rsidR="00B601FA" w:rsidRPr="00944D78" w:rsidRDefault="004E3D9B">
      <w:pPr>
        <w:rPr>
          <w:color w:val="000000" w:themeColor="text1"/>
          <w:lang w:val="pt-BR"/>
        </w:rPr>
      </w:pPr>
      <w:r w:rsidRPr="00944D78">
        <w:rPr>
          <w:rFonts w:ascii="Times New Roman" w:hAnsi="Times New Roman"/>
          <w:color w:val="000000" w:themeColor="text1"/>
          <w:lang w:val="pt-BR"/>
        </w:rPr>
        <w:t>Com o intuito de evidenciar as características demográficas e socioeconômicas dos grupos de maiores riscos para COVID-19, ajustou-se um modelo de regressão logística binária múltipla, modelado conforme indicado abaixo:</w:t>
      </w:r>
    </w:p>
    <w:p w:rsidR="00B601FA" w:rsidRPr="00944D78" w:rsidRDefault="004E3D9B">
      <w:pPr>
        <w:jc w:val="center"/>
        <w:rPr>
          <w:color w:val="000000" w:themeColor="text1"/>
        </w:rPr>
      </w:pPr>
      <m:oMathPara>
        <m:oMathParaPr>
          <m:jc m:val="center"/>
        </m:oMathParaPr>
        <m:oMath>
          <m:r>
            <w:rPr>
              <w:rFonts w:ascii="Cambria Math" w:hAnsi="Cambria Math"/>
              <w:color w:val="000000" w:themeColor="text1"/>
            </w:rPr>
            <m:t>logito</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e>
          </m:d>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color w:val="000000" w:themeColor="text1"/>
                    </w:rPr>
                  </m:ctrlPr>
                </m:dPr>
                <m:e>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num>
                    <m:den>
                      <m:r>
                        <w:rPr>
                          <w:rFonts w:ascii="Cambria Math" w:hAnsi="Cambria Math"/>
                          <w:color w:val="000000" w:themeColor="text1"/>
                        </w:rPr>
                        <m:t>1-</m:t>
                      </m:r>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den>
                  </m:f>
                </m:e>
              </m:d>
            </m:e>
          </m:func>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k</m:t>
              </m:r>
            </m:sub>
          </m:sSub>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k</m:t>
              </m:r>
              <m:r>
                <w:rPr>
                  <w:rFonts w:ascii="Cambria Math" w:hAnsi="Cambria Math"/>
                  <w:color w:val="000000" w:themeColor="text1"/>
                </w:rPr>
                <m:t>,</m:t>
              </m:r>
              <m:r>
                <w:rPr>
                  <w:rFonts w:ascii="Cambria Math" w:hAnsi="Cambria Math"/>
                  <w:color w:val="000000" w:themeColor="text1"/>
                </w:rPr>
                <m:t>i</m:t>
              </m:r>
            </m:sub>
          </m:sSub>
        </m:oMath>
      </m:oMathPara>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onde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oMath>
      <w:r w:rsidRPr="00944D78">
        <w:rPr>
          <w:rFonts w:ascii="Times New Roman" w:hAnsi="Times New Roman"/>
          <w:color w:val="000000" w:themeColor="text1"/>
          <w:lang w:val="pt-BR"/>
        </w:rPr>
        <w:t xml:space="preserve"> representa a pro</w:t>
      </w:r>
      <w:proofErr w:type="spellStart"/>
      <w:r w:rsidRPr="00944D78">
        <w:rPr>
          <w:rFonts w:ascii="Times New Roman" w:hAnsi="Times New Roman"/>
          <w:color w:val="000000" w:themeColor="text1"/>
          <w:lang w:val="pt-BR"/>
        </w:rPr>
        <w:t>babilidades</w:t>
      </w:r>
      <w:proofErr w:type="spellEnd"/>
      <w:r w:rsidRPr="00944D78">
        <w:rPr>
          <w:rFonts w:ascii="Times New Roman" w:hAnsi="Times New Roman"/>
          <w:color w:val="000000" w:themeColor="text1"/>
          <w:lang w:val="pt-BR"/>
        </w:rPr>
        <w:t xml:space="preserve"> de pertencimento ao grupo de risco por condições pré-existentes de cada indivíduo </w:t>
      </w:r>
      <m:oMath>
        <m:r>
          <w:rPr>
            <w:rFonts w:ascii="Cambria Math" w:hAnsi="Cambria Math"/>
            <w:color w:val="000000" w:themeColor="text1"/>
          </w:rPr>
          <m:t>i</m:t>
        </m:r>
      </m:oMath>
      <w:r w:rsidRPr="00944D78">
        <w:rPr>
          <w:rFonts w:ascii="Times New Roman" w:hAnsi="Times New Roman"/>
          <w:color w:val="000000" w:themeColor="text1"/>
          <w:lang w:val="pt-BR"/>
        </w:rPr>
        <w:t xml:space="preserve">, as variáveis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lang w:val="pt-BR"/>
              </w:rPr>
              <m:t>0</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lang w:val="pt-BR"/>
              </w:rPr>
              <m:t>1,</m:t>
            </m:r>
            <m:r>
              <w:rPr>
                <w:rFonts w:ascii="Cambria Math" w:hAnsi="Cambria Math"/>
                <w:color w:val="000000" w:themeColor="text1"/>
              </w:rPr>
              <m:t>i</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lang w:val="pt-BR"/>
              </w:rPr>
              <m:t>2,</m:t>
            </m:r>
            <m:r>
              <w:rPr>
                <w:rFonts w:ascii="Cambria Math" w:hAnsi="Cambria Math"/>
                <w:color w:val="000000" w:themeColor="text1"/>
              </w:rPr>
              <m:t>i</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k</m:t>
            </m:r>
            <m:r>
              <w:rPr>
                <w:rFonts w:ascii="Cambria Math" w:hAnsi="Cambria Math"/>
                <w:color w:val="000000" w:themeColor="text1"/>
                <w:lang w:val="pt-BR"/>
              </w:rPr>
              <m:t>,</m:t>
            </m:r>
            <m:r>
              <w:rPr>
                <w:rFonts w:ascii="Cambria Math" w:hAnsi="Cambria Math"/>
                <w:color w:val="000000" w:themeColor="text1"/>
              </w:rPr>
              <m:t>i</m:t>
            </m:r>
          </m:sub>
        </m:sSub>
      </m:oMath>
      <w:r w:rsidRPr="00944D78">
        <w:rPr>
          <w:rFonts w:ascii="Times New Roman" w:hAnsi="Times New Roman"/>
          <w:color w:val="000000" w:themeColor="text1"/>
          <w:lang w:val="pt-BR"/>
        </w:rPr>
        <w:t xml:space="preserve"> indicam as características de cada indivíduo consideradas no modelo final, e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lang w:val="pt-BR"/>
              </w:rPr>
              <m:t>0</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lang w:val="pt-BR"/>
              </w:rPr>
              <m:t>1</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lang w:val="pt-BR"/>
              </w:rPr>
              <m:t>2</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k</m:t>
            </m:r>
          </m:sub>
        </m:sSub>
      </m:oMath>
      <w:r w:rsidRPr="00944D78">
        <w:rPr>
          <w:rFonts w:ascii="Times New Roman" w:hAnsi="Times New Roman"/>
          <w:color w:val="000000" w:themeColor="text1"/>
          <w:lang w:val="pt-BR"/>
        </w:rPr>
        <w:t xml:space="preserve"> representam os coeficientes estimados.</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Os coeficientes da regressão </w:t>
      </w:r>
      <w:r w:rsidRPr="00944D78">
        <w:rPr>
          <w:rFonts w:ascii="Times New Roman" w:hAnsi="Times New Roman"/>
          <w:color w:val="000000" w:themeColor="text1"/>
          <w:lang w:val="pt-BR"/>
        </w:rPr>
        <w:t>logística, quando não se referem a variáveis que entram no modelo em termos com interação, são interpretados em função da Razão de Chances de cada uma das categorias de análise em relação a uma categoria de referência. A abordagem da regressão múltipla par</w:t>
      </w:r>
      <w:r w:rsidRPr="00944D78">
        <w:rPr>
          <w:rFonts w:ascii="Times New Roman" w:hAnsi="Times New Roman"/>
          <w:color w:val="000000" w:themeColor="text1"/>
          <w:lang w:val="pt-BR"/>
        </w:rPr>
        <w:t xml:space="preserve">a analisar o fenômeno em questão é importante para minimizar os efeitos de </w:t>
      </w:r>
      <w:proofErr w:type="spellStart"/>
      <w:r w:rsidRPr="00944D78">
        <w:rPr>
          <w:rFonts w:ascii="Times New Roman" w:hAnsi="Times New Roman"/>
          <w:color w:val="000000" w:themeColor="text1"/>
          <w:lang w:val="pt-BR"/>
        </w:rPr>
        <w:t>confundimento</w:t>
      </w:r>
      <w:proofErr w:type="spellEnd"/>
      <w:r w:rsidRPr="00944D78">
        <w:rPr>
          <w:rFonts w:ascii="Times New Roman" w:hAnsi="Times New Roman"/>
          <w:color w:val="000000" w:themeColor="text1"/>
          <w:lang w:val="pt-BR"/>
        </w:rPr>
        <w:t xml:space="preserve"> de variáveis explicativas em relação à variável resposta, quando o tamanho da amostra não é suficientemente grande para estratificar todas as variáveis de interesse</w:t>
      </w:r>
      <w:r w:rsidRPr="00944D78">
        <w:rPr>
          <w:rFonts w:ascii="Times New Roman" w:hAnsi="Times New Roman"/>
          <w:color w:val="000000" w:themeColor="text1"/>
          <w:vertAlign w:val="superscript"/>
          <w:lang w:val="pt-BR"/>
        </w:rPr>
        <w:t>32</w:t>
      </w:r>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Foram testadas como variáveis explicativas as respostas fornecidas pelos entrevistados da pesquisa referentes a: grupos quinquenais (com exceção do grupo 18-24) de idade, sexo, Grande Região, situação do domicílio (urbana ou rural), cor ou raça, nível de </w:t>
      </w:r>
      <w:r w:rsidRPr="00944D78">
        <w:rPr>
          <w:rFonts w:ascii="Times New Roman" w:hAnsi="Times New Roman"/>
          <w:color w:val="000000" w:themeColor="text1"/>
          <w:lang w:val="pt-BR"/>
        </w:rPr>
        <w:t>escolaridade, condição de ocupação (ocupada ou desocupada), condição em relação à força de trabalho (na força ou fora da força), e existência ou não de plano de saúde. Foi testada ainda a interação entre as variáveis sexo e idade, em função da associação e</w:t>
      </w:r>
      <w:r w:rsidRPr="00944D78">
        <w:rPr>
          <w:rFonts w:ascii="Times New Roman" w:hAnsi="Times New Roman"/>
          <w:color w:val="000000" w:themeColor="text1"/>
          <w:lang w:val="pt-BR"/>
        </w:rPr>
        <w:t>ntre estes dois atributos em relação à variável resposta, conforme apresentado na seção de resultados.</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significância dos parâmetros foi avaliada pelo Teste de Wald, testando a hipótese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lang w:val="pt-BR"/>
              </w:rPr>
              <m:t>0</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r>
          <w:rPr>
            <w:rFonts w:ascii="Cambria Math" w:hAnsi="Cambria Math"/>
            <w:color w:val="000000" w:themeColor="text1"/>
            <w:lang w:val="pt-BR"/>
          </w:rPr>
          <m:t>=0</m:t>
        </m:r>
      </m:oMath>
      <w:r w:rsidRPr="00944D78">
        <w:rPr>
          <w:rFonts w:ascii="Times New Roman" w:hAnsi="Times New Roman"/>
          <w:color w:val="000000" w:themeColor="text1"/>
          <w:lang w:val="pt-BR"/>
        </w:rPr>
        <w:t xml:space="preserve"> </w:t>
      </w:r>
      <w:r w:rsidRPr="00944D78">
        <w:rPr>
          <w:rFonts w:ascii="Times New Roman" w:hAnsi="Times New Roman"/>
          <w:i/>
          <w:color w:val="000000" w:themeColor="text1"/>
          <w:lang w:val="pt-BR"/>
        </w:rPr>
        <w:t xml:space="preserve">versus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lang w:val="pt-BR"/>
              </w:rPr>
              <m:t>1</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r>
          <w:rPr>
            <w:rFonts w:ascii="Cambria Math" w:hAnsi="Cambria Math"/>
            <w:color w:val="000000" w:themeColor="text1"/>
            <w:lang w:val="pt-BR"/>
          </w:rPr>
          <m:t>≠0</m:t>
        </m:r>
      </m:oMath>
      <w:r w:rsidRPr="00944D78">
        <w:rPr>
          <w:rFonts w:ascii="Times New Roman" w:hAnsi="Times New Roman"/>
          <w:color w:val="000000" w:themeColor="text1"/>
          <w:lang w:val="pt-BR"/>
        </w:rPr>
        <w:t xml:space="preserve"> para cada coeficiente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oMath>
      <w:r w:rsidRPr="00944D78">
        <w:rPr>
          <w:rFonts w:ascii="Times New Roman" w:hAnsi="Times New Roman"/>
          <w:color w:val="000000" w:themeColor="text1"/>
          <w:lang w:val="pt-BR"/>
        </w:rPr>
        <w:t xml:space="preserve"> inserido no modelo referente à inclus</w:t>
      </w:r>
      <w:proofErr w:type="spellStart"/>
      <w:r w:rsidRPr="00944D78">
        <w:rPr>
          <w:rFonts w:ascii="Times New Roman" w:hAnsi="Times New Roman"/>
          <w:color w:val="000000" w:themeColor="text1"/>
          <w:lang w:val="pt-BR"/>
        </w:rPr>
        <w:t>ão</w:t>
      </w:r>
      <w:proofErr w:type="spellEnd"/>
      <w:r w:rsidRPr="00944D78">
        <w:rPr>
          <w:rFonts w:ascii="Times New Roman" w:hAnsi="Times New Roman"/>
          <w:color w:val="000000" w:themeColor="text1"/>
          <w:lang w:val="pt-BR"/>
        </w:rPr>
        <w:t xml:space="preserve"> da variável (ou interação entre variáveis) na ordem listada acima</w:t>
      </w:r>
      <w:r w:rsidRPr="00944D78">
        <w:rPr>
          <w:rFonts w:ascii="Times New Roman" w:hAnsi="Times New Roman"/>
          <w:color w:val="000000" w:themeColor="text1"/>
          <w:vertAlign w:val="superscript"/>
          <w:lang w:val="pt-BR"/>
        </w:rPr>
        <w:t>32</w:t>
      </w:r>
      <w:r w:rsidRPr="00944D78">
        <w:rPr>
          <w:rFonts w:ascii="Times New Roman" w:hAnsi="Times New Roman"/>
          <w:color w:val="000000" w:themeColor="text1"/>
          <w:lang w:val="pt-BR"/>
        </w:rPr>
        <w:t xml:space="preserve">. Foram mantidas no modelo aquelas variáveis e interações que apresentaram p-valor menor que 0,05. Todas as variáveis e interações do modelo final foram significativas com p-valor menor </w:t>
      </w:r>
      <w:r w:rsidRPr="00944D78">
        <w:rPr>
          <w:rFonts w:ascii="Times New Roman" w:hAnsi="Times New Roman"/>
          <w:color w:val="000000" w:themeColor="text1"/>
          <w:lang w:val="pt-BR"/>
        </w:rPr>
        <w:t xml:space="preserve">que 0,002. As </w:t>
      </w:r>
      <w:r w:rsidRPr="00944D78">
        <w:rPr>
          <w:rFonts w:ascii="Times New Roman" w:hAnsi="Times New Roman"/>
          <w:color w:val="000000" w:themeColor="text1"/>
          <w:lang w:val="pt-BR"/>
        </w:rPr>
        <w:lastRenderedPageBreak/>
        <w:t>variáveis “situação do domicílio” (p-valor = 0,21), “condição de ocupação” (p-valor = 0,85) e “existência de plano de saúde” (p-valor = 0,70) não foram significativas para o modelo e, portanto, não foram incluídas. O modelo final apresenta ps</w:t>
      </w:r>
      <w:r w:rsidRPr="00944D78">
        <w:rPr>
          <w:rFonts w:ascii="Times New Roman" w:hAnsi="Times New Roman"/>
          <w:color w:val="000000" w:themeColor="text1"/>
          <w:lang w:val="pt-BR"/>
        </w:rPr>
        <w:t>eudo-R² (McFadden</w:t>
      </w:r>
      <w:r w:rsidRPr="00944D78">
        <w:rPr>
          <w:rFonts w:ascii="Times New Roman" w:hAnsi="Times New Roman"/>
          <w:color w:val="000000" w:themeColor="text1"/>
          <w:vertAlign w:val="superscript"/>
          <w:lang w:val="pt-BR"/>
        </w:rPr>
        <w:t>33</w:t>
      </w:r>
      <w:r w:rsidRPr="00944D78">
        <w:rPr>
          <w:rFonts w:ascii="Times New Roman" w:hAnsi="Times New Roman"/>
          <w:color w:val="000000" w:themeColor="text1"/>
          <w:lang w:val="pt-BR"/>
        </w:rPr>
        <w:t>) de 0,17.</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Com os resultados do ajuste da regressão, é possível estimar a probabilidade de um indivíduo pertencer ao grupo de risco por condições pré-existentes levando-se em consideração diversas características demográficas e socioecon</w:t>
      </w:r>
      <w:r w:rsidRPr="00944D78">
        <w:rPr>
          <w:rFonts w:ascii="Times New Roman" w:hAnsi="Times New Roman"/>
          <w:color w:val="000000" w:themeColor="text1"/>
          <w:lang w:val="pt-BR"/>
        </w:rPr>
        <w:t>ômicas simultaneamente.</w:t>
      </w:r>
    </w:p>
    <w:p w:rsidR="00B601FA" w:rsidRPr="00944D78" w:rsidRDefault="004E3D9B">
      <w:pPr>
        <w:rPr>
          <w:color w:val="000000" w:themeColor="text1"/>
          <w:lang w:val="pt-BR"/>
        </w:rPr>
      </w:pPr>
      <w:r w:rsidRPr="00944D78">
        <w:rPr>
          <w:rFonts w:ascii="Times New Roman" w:hAnsi="Times New Roman"/>
          <w:color w:val="000000" w:themeColor="text1"/>
          <w:lang w:val="pt-BR"/>
        </w:rPr>
        <w:t>Como as perguntas específicas sobre morbidades só foram coletadas para um morador com 18 anos ou mais de idade por domicílio, não é possível extrair diretamente da pesquisa as características de todos os moradores e, consequentement</w:t>
      </w:r>
      <w:r w:rsidRPr="00944D78">
        <w:rPr>
          <w:rFonts w:ascii="Times New Roman" w:hAnsi="Times New Roman"/>
          <w:color w:val="000000" w:themeColor="text1"/>
          <w:lang w:val="pt-BR"/>
        </w:rPr>
        <w:t>e, saber quais são os domicílios que têm pessoas com tais características. Dessa forma, estimou-se, através dos coeficientes resultantes do modelo final da regressão logística ajustada, a probabilidade de cada indivíduo com idade entre 18 e 59 anos  perten</w:t>
      </w:r>
      <w:r w:rsidRPr="00944D78">
        <w:rPr>
          <w:rFonts w:ascii="Times New Roman" w:hAnsi="Times New Roman"/>
          <w:color w:val="000000" w:themeColor="text1"/>
          <w:lang w:val="pt-BR"/>
        </w:rPr>
        <w:t>cer ao grupo de risco, segundo seus atributos individuais. A partir destas probabilidades, simulou-se, utilizando a distribuição Bernoulli, o pertencimento ou não de cada indivíduo com idade entre 18 e 59 anos ao grupo de risco. Como não foram coletadas in</w:t>
      </w:r>
      <w:r w:rsidRPr="00944D78">
        <w:rPr>
          <w:rFonts w:ascii="Times New Roman" w:hAnsi="Times New Roman"/>
          <w:color w:val="000000" w:themeColor="text1"/>
          <w:lang w:val="pt-BR"/>
        </w:rPr>
        <w:t>formações sobre morbidades para a população com menos de 18 anos, estes indivíduos foram considerados como fora do grupo de risco. Os idosos com 60 anos ou mais de idade foram classificados como pertencentes ao grupo de risco, conforme sugerido pelas evidê</w:t>
      </w:r>
      <w:r w:rsidRPr="00944D78">
        <w:rPr>
          <w:rFonts w:ascii="Times New Roman" w:hAnsi="Times New Roman"/>
          <w:color w:val="000000" w:themeColor="text1"/>
          <w:lang w:val="pt-BR"/>
        </w:rPr>
        <w:t>ncias disponíveis até o momento</w:t>
      </w:r>
      <w:r w:rsidRPr="00944D78">
        <w:rPr>
          <w:rFonts w:ascii="Times New Roman" w:hAnsi="Times New Roman"/>
          <w:color w:val="000000" w:themeColor="text1"/>
          <w:vertAlign w:val="superscript"/>
          <w:lang w:val="pt-BR"/>
        </w:rPr>
        <w:t>1,29,31</w:t>
      </w:r>
      <w:r w:rsidRPr="00944D78">
        <w:rPr>
          <w:rFonts w:ascii="Times New Roman" w:hAnsi="Times New Roman"/>
          <w:color w:val="000000" w:themeColor="text1"/>
          <w:lang w:val="pt-BR"/>
        </w:rPr>
        <w:t>.</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Os dados foram analisados utilizando-se o software estatístico R (versão 3.6.2). A biblioteca </w:t>
      </w:r>
      <w:proofErr w:type="spellStart"/>
      <w:r w:rsidRPr="00944D78">
        <w:rPr>
          <w:rFonts w:ascii="Times New Roman" w:hAnsi="Times New Roman"/>
          <w:i/>
          <w:color w:val="000000" w:themeColor="text1"/>
          <w:lang w:val="pt-BR"/>
        </w:rPr>
        <w:t>survey</w:t>
      </w:r>
      <w:proofErr w:type="spellEnd"/>
      <w:r w:rsidRPr="00944D78">
        <w:rPr>
          <w:rFonts w:ascii="Times New Roman" w:hAnsi="Times New Roman"/>
          <w:color w:val="000000" w:themeColor="text1"/>
          <w:lang w:val="pt-BR"/>
        </w:rPr>
        <w:t xml:space="preserve"> foi empregada para considerar os efeitos da amostragem complexa da pesquisa. Os scripts utilizados, bem como materi</w:t>
      </w:r>
      <w:r w:rsidRPr="00944D78">
        <w:rPr>
          <w:rFonts w:ascii="Times New Roman" w:hAnsi="Times New Roman"/>
          <w:color w:val="000000" w:themeColor="text1"/>
          <w:lang w:val="pt-BR"/>
        </w:rPr>
        <w:t xml:space="preserve">al suplementar, estão publicamente disponíveis no repositório do </w:t>
      </w:r>
      <w:proofErr w:type="spellStart"/>
      <w:r w:rsidRPr="00944D78">
        <w:rPr>
          <w:rFonts w:ascii="Times New Roman" w:hAnsi="Times New Roman"/>
          <w:i/>
          <w:color w:val="000000" w:themeColor="text1"/>
          <w:lang w:val="pt-BR"/>
        </w:rPr>
        <w:t>Github</w:t>
      </w:r>
      <w:proofErr w:type="spellEnd"/>
      <w:r w:rsidRPr="00944D78">
        <w:rPr>
          <w:rFonts w:ascii="Times New Roman" w:hAnsi="Times New Roman"/>
          <w:color w:val="000000" w:themeColor="text1"/>
          <w:lang w:val="pt-BR"/>
        </w:rPr>
        <w:t>, o que permite a reprodutibilidade de todos os resultados do artigo e a reutilização dos códigos por outros pesquisadores.</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Resultados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Os resultados da PNS 2013 indicam que 39,4% [38,5;</w:t>
      </w:r>
      <w:r w:rsidRPr="00944D78">
        <w:rPr>
          <w:rFonts w:ascii="Times New Roman" w:hAnsi="Times New Roman"/>
          <w:color w:val="000000" w:themeColor="text1"/>
          <w:lang w:val="pt-BR"/>
        </w:rPr>
        <w:t xml:space="preserve"> 40,4] dos homens e 40,4% [39,5; 41,2] das mulheres com 18 anos ou mais tinham pelo menos uma condição associada a complicações graves da COVID-19 (grupo de risco por condições pré-existentes).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A última coluna da Tabela 1 apresenta a prevalência de pelo me</w:t>
      </w:r>
      <w:r w:rsidRPr="00944D78">
        <w:rPr>
          <w:rFonts w:ascii="Times New Roman" w:hAnsi="Times New Roman"/>
          <w:color w:val="000000" w:themeColor="text1"/>
          <w:lang w:val="pt-BR"/>
        </w:rPr>
        <w:t>nos uma condição pré-existentes associada a complicações graves da COVID-19 por sexo e grupos de idade, bem como seus intervalos de confiança. Observa-se que a prevalência é crescente com a idade, chegando a 75,0% e 73,1%, para homens e mulheres com mais d</w:t>
      </w:r>
      <w:r w:rsidRPr="00944D78">
        <w:rPr>
          <w:rFonts w:ascii="Times New Roman" w:hAnsi="Times New Roman"/>
          <w:color w:val="000000" w:themeColor="text1"/>
          <w:lang w:val="pt-BR"/>
        </w:rPr>
        <w:t xml:space="preserve">e 60 anos, respectivamente. Ainda que a prevalência seja maior entre os mais velhos, tais doenças atingem também as pessoas mais jovens de forma significativa. Para a população de 55 a 59 anos, mais de 60% apresentam alguma </w:t>
      </w:r>
      <w:proofErr w:type="spellStart"/>
      <w:r w:rsidRPr="00944D78">
        <w:rPr>
          <w:rFonts w:ascii="Times New Roman" w:hAnsi="Times New Roman"/>
          <w:color w:val="000000" w:themeColor="text1"/>
          <w:lang w:val="pt-BR"/>
        </w:rPr>
        <w:t>comorbidade</w:t>
      </w:r>
      <w:proofErr w:type="spellEnd"/>
      <w:r w:rsidRPr="00944D78">
        <w:rPr>
          <w:rFonts w:ascii="Times New Roman" w:hAnsi="Times New Roman"/>
          <w:color w:val="000000" w:themeColor="text1"/>
          <w:lang w:val="pt-BR"/>
        </w:rPr>
        <w:t>, enquanto na populaç</w:t>
      </w:r>
      <w:r w:rsidRPr="00944D78">
        <w:rPr>
          <w:rFonts w:ascii="Times New Roman" w:hAnsi="Times New Roman"/>
          <w:color w:val="000000" w:themeColor="text1"/>
          <w:lang w:val="pt-BR"/>
        </w:rPr>
        <w:t xml:space="preserve">ão com idade entre 50 e 54, a prevalência é de mais de 50%. Entre os grupos mais jovens analisados, a prevalência de condição associada a complicações da COVID-19 chega a 12,2% das </w:t>
      </w:r>
      <w:r w:rsidRPr="00944D78">
        <w:rPr>
          <w:rFonts w:ascii="Times New Roman" w:hAnsi="Times New Roman"/>
          <w:color w:val="000000" w:themeColor="text1"/>
          <w:lang w:val="pt-BR"/>
        </w:rPr>
        <w:lastRenderedPageBreak/>
        <w:t>mulheres e 15,7% dos homens do grupo etário 18-24. Para o grupo 25-29, este</w:t>
      </w:r>
      <w:r w:rsidRPr="00944D78">
        <w:rPr>
          <w:rFonts w:ascii="Times New Roman" w:hAnsi="Times New Roman"/>
          <w:color w:val="000000" w:themeColor="text1"/>
          <w:lang w:val="pt-BR"/>
        </w:rPr>
        <w:t xml:space="preserve">s valores são de 14,5% para os homens e 21,0% para as mulheres, respectivamente. Em relação aos diferenciais por sexo, nota-se que entre os jovens de até 29 anos a prevalência é maior entre os homens, ao passo que entre os idosos a prevalência em mulheres </w:t>
      </w:r>
      <w:r w:rsidRPr="00944D78">
        <w:rPr>
          <w:rFonts w:ascii="Times New Roman" w:hAnsi="Times New Roman"/>
          <w:color w:val="000000" w:themeColor="text1"/>
          <w:lang w:val="pt-BR"/>
        </w:rPr>
        <w:t xml:space="preserve">é ligeiramente superior.                                             </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A </w:t>
      </w:r>
      <w:proofErr w:type="spellStart"/>
      <w:r w:rsidRPr="00944D78">
        <w:rPr>
          <w:rFonts w:ascii="Times New Roman" w:hAnsi="Times New Roman"/>
          <w:color w:val="000000" w:themeColor="text1"/>
          <w:lang w:val="pt-BR"/>
        </w:rPr>
        <w:t>comorbidade</w:t>
      </w:r>
      <w:proofErr w:type="spellEnd"/>
      <w:r w:rsidRPr="00944D78">
        <w:rPr>
          <w:rFonts w:ascii="Times New Roman" w:hAnsi="Times New Roman"/>
          <w:color w:val="000000" w:themeColor="text1"/>
          <w:lang w:val="pt-BR"/>
        </w:rPr>
        <w:t xml:space="preserve"> mais prevalente entre as pessoas de 18 anos ou mais é hipertensão arterial, que atinge 33,0% [32,1%; 34,0%] dos homens e 31,7% [30,9%; 32,5%] das mulheres, seguida de diabe</w:t>
      </w:r>
      <w:r w:rsidRPr="00944D78">
        <w:rPr>
          <w:rFonts w:ascii="Times New Roman" w:hAnsi="Times New Roman"/>
          <w:color w:val="000000" w:themeColor="text1"/>
          <w:lang w:val="pt-BR"/>
        </w:rPr>
        <w:t>tes, com 5,4% [4,8%; 5,9%] dos homens e 7,1% [6,7%; 7,6%] das mulheres.</w:t>
      </w:r>
    </w:p>
    <w:p w:rsidR="00944D78" w:rsidRDefault="004E3D9B" w:rsidP="00944D78">
      <w:pPr>
        <w:rPr>
          <w:rFonts w:ascii="Times New Roman" w:hAnsi="Times New Roman"/>
          <w:color w:val="000000" w:themeColor="text1"/>
          <w:lang w:val="pt-BR"/>
        </w:rPr>
      </w:pPr>
      <w:r w:rsidRPr="00944D78">
        <w:rPr>
          <w:rFonts w:ascii="Times New Roman" w:hAnsi="Times New Roman"/>
          <w:color w:val="000000" w:themeColor="text1"/>
          <w:lang w:val="pt-BR"/>
        </w:rPr>
        <w:t>A Tabela 1 mostra também a prevalência de cada uma das condições associadas à COVID-19 por sexo e grupos de idade. Hipertensão arterial e diabetes são mais prevalentes entre os adultos</w:t>
      </w:r>
      <w:r w:rsidRPr="00944D78">
        <w:rPr>
          <w:rFonts w:ascii="Times New Roman" w:hAnsi="Times New Roman"/>
          <w:color w:val="000000" w:themeColor="text1"/>
          <w:lang w:val="pt-BR"/>
        </w:rPr>
        <w:t xml:space="preserve"> mais velhos e idosos e suas prevalências aumentam consistentemente com a idade. A prevalência de doença do coração é também significantemente mais alta entre os mais velhos, particularmente a partir dos 55 anos. Para a população com menos de 40 anos, asma</w:t>
      </w:r>
      <w:r w:rsidRPr="00944D78">
        <w:rPr>
          <w:rFonts w:ascii="Times New Roman" w:hAnsi="Times New Roman"/>
          <w:color w:val="000000" w:themeColor="text1"/>
          <w:lang w:val="pt-BR"/>
        </w:rPr>
        <w:t xml:space="preserve"> é uma doença com alta prevalência, girando em torno de 5%.</w:t>
      </w:r>
      <w:r w:rsidR="00944D78">
        <w:rPr>
          <w:rFonts w:ascii="Times New Roman" w:hAnsi="Times New Roman"/>
          <w:color w:val="000000" w:themeColor="text1"/>
          <w:lang w:val="pt-BR"/>
        </w:rPr>
        <w:br w:type="page"/>
      </w:r>
    </w:p>
    <w:p w:rsidR="00944D78" w:rsidRDefault="00944D78" w:rsidP="00944D78">
      <w:pPr>
        <w:spacing w:before="0" w:after="160" w:line="259" w:lineRule="auto"/>
        <w:rPr>
          <w:rFonts w:ascii="Times New Roman" w:hAnsi="Times New Roman"/>
          <w:b/>
          <w:color w:val="000000"/>
          <w:sz w:val="26"/>
          <w:lang w:val="pt-BR"/>
        </w:rPr>
        <w:sectPr w:rsidR="00944D78" w:rsidSect="00E656AC">
          <w:pgSz w:w="12240" w:h="15840"/>
          <w:pgMar w:top="720" w:right="720" w:bottom="720" w:left="720" w:header="720" w:footer="720" w:gutter="0"/>
          <w:cols w:space="720"/>
          <w:docGrid w:linePitch="326"/>
        </w:sectPr>
      </w:pPr>
    </w:p>
    <w:p w:rsidR="00944D78" w:rsidRPr="00F0364B" w:rsidRDefault="00F0364B" w:rsidP="00F0364B">
      <w:pPr>
        <w:rPr>
          <w:rFonts w:ascii="Times New Roman" w:hAnsi="Times New Roman"/>
          <w:b/>
          <w:color w:val="000000"/>
          <w:lang w:val="pt-BR"/>
        </w:rPr>
      </w:pPr>
      <w:r w:rsidRPr="002E60B7">
        <w:rPr>
          <w:rFonts w:ascii="Times New Roman" w:hAnsi="Times New Roman"/>
          <w:b/>
          <w:color w:val="000000"/>
          <w:lang w:val="pt-BR"/>
        </w:rPr>
        <w:lastRenderedPageBreak/>
        <w:t>Tabela 1 – Prevalência e intervalos de confiança (%) de morbidades e fatores de risco associados a COVID-19 por grupos de idade – Brasil, 2013</w:t>
      </w:r>
    </w:p>
    <w:tbl>
      <w:tblPr>
        <w:tblW w:w="14512" w:type="dxa"/>
        <w:tblLook w:val="04A0" w:firstRow="1" w:lastRow="0" w:firstColumn="1" w:lastColumn="0" w:noHBand="0" w:noVBand="1"/>
      </w:tblPr>
      <w:tblGrid>
        <w:gridCol w:w="1260"/>
        <w:gridCol w:w="1821"/>
        <w:gridCol w:w="1689"/>
        <w:gridCol w:w="1743"/>
        <w:gridCol w:w="1811"/>
        <w:gridCol w:w="1382"/>
        <w:gridCol w:w="1415"/>
        <w:gridCol w:w="1645"/>
        <w:gridCol w:w="1746"/>
      </w:tblGrid>
      <w:tr w:rsidR="00F0364B" w:rsidRPr="002E60B7" w:rsidTr="00F0364B">
        <w:trPr>
          <w:trHeight w:val="144"/>
        </w:trPr>
        <w:tc>
          <w:tcPr>
            <w:tcW w:w="1260" w:type="dxa"/>
            <w:tcBorders>
              <w:top w:val="nil"/>
              <w:left w:val="nil"/>
              <w:bottom w:val="single" w:sz="4" w:space="0" w:color="auto"/>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bookmarkStart w:id="0" w:name="_GoBack"/>
            <w:bookmarkEnd w:id="0"/>
            <w:r w:rsidRPr="002E60B7">
              <w:rPr>
                <w:rFonts w:ascii="Times New Roman" w:hAnsi="Times New Roman"/>
                <w:b/>
                <w:color w:val="000000"/>
                <w:sz w:val="22"/>
                <w:szCs w:val="22"/>
                <w:lang w:val="pt-BR" w:eastAsia="en-US"/>
              </w:rPr>
              <w:t>Sexo/Idade</w:t>
            </w:r>
          </w:p>
        </w:tc>
        <w:tc>
          <w:tcPr>
            <w:tcW w:w="1821"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Obesidade mórbida</w:t>
            </w:r>
          </w:p>
        </w:tc>
        <w:tc>
          <w:tcPr>
            <w:tcW w:w="1689"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Hipertensão arterial medida por instrumento ou uso de medicamentos</w:t>
            </w:r>
          </w:p>
        </w:tc>
        <w:tc>
          <w:tcPr>
            <w:tcW w:w="1743"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Diabetes</w:t>
            </w:r>
          </w:p>
        </w:tc>
        <w:tc>
          <w:tcPr>
            <w:tcW w:w="1811"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Doença do coração</w:t>
            </w:r>
          </w:p>
        </w:tc>
        <w:tc>
          <w:tcPr>
            <w:tcW w:w="1382"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Asma</w:t>
            </w:r>
          </w:p>
        </w:tc>
        <w:tc>
          <w:tcPr>
            <w:tcW w:w="1415"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Doença pulmonar</w:t>
            </w:r>
          </w:p>
        </w:tc>
        <w:tc>
          <w:tcPr>
            <w:tcW w:w="1645" w:type="dxa"/>
            <w:tcBorders>
              <w:top w:val="nil"/>
              <w:left w:val="nil"/>
              <w:bottom w:val="single" w:sz="4" w:space="0" w:color="auto"/>
              <w:right w:val="nil"/>
            </w:tcBorders>
            <w:shd w:val="clear" w:color="000000" w:fill="FFFFFF"/>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Insuficiência renal crônica</w:t>
            </w:r>
          </w:p>
        </w:tc>
        <w:tc>
          <w:tcPr>
            <w:tcW w:w="1746"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Pelo menos uma condição pré-existente</w:t>
            </w:r>
          </w:p>
        </w:tc>
      </w:tr>
      <w:tr w:rsidR="00F0364B" w:rsidRPr="002E60B7" w:rsidTr="00F0364B">
        <w:trPr>
          <w:trHeight w:val="144"/>
        </w:trPr>
        <w:tc>
          <w:tcPr>
            <w:tcW w:w="1260" w:type="dxa"/>
            <w:tcBorders>
              <w:top w:val="nil"/>
              <w:left w:val="nil"/>
              <w:bottom w:val="single" w:sz="4" w:space="0" w:color="auto"/>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Mulheres</w:t>
            </w:r>
          </w:p>
        </w:tc>
        <w:tc>
          <w:tcPr>
            <w:tcW w:w="1821"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689"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743"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811" w:type="dxa"/>
            <w:tcBorders>
              <w:top w:val="single" w:sz="4" w:space="0" w:color="auto"/>
              <w:left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382"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415"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645" w:type="dxa"/>
            <w:tcBorders>
              <w:top w:val="single" w:sz="4" w:space="0" w:color="auto"/>
              <w:bottom w:val="single" w:sz="4" w:space="0" w:color="auto"/>
            </w:tcBorders>
            <w:shd w:val="clear" w:color="000000" w:fill="FFFFFF"/>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746"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r>
      <w:tr w:rsidR="00F0364B" w:rsidRPr="002E60B7" w:rsidTr="00F0364B">
        <w:trPr>
          <w:trHeight w:val="144"/>
        </w:trPr>
        <w:tc>
          <w:tcPr>
            <w:tcW w:w="1260" w:type="dxa"/>
            <w:tcBorders>
              <w:top w:val="single" w:sz="4" w:space="0" w:color="auto"/>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18-24</w:t>
            </w:r>
          </w:p>
        </w:tc>
        <w:tc>
          <w:tcPr>
            <w:tcW w:w="1821" w:type="dxa"/>
            <w:tcBorders>
              <w:top w:val="single" w:sz="4" w:space="0" w:color="auto"/>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0,9 [0,4; 1,3]</w:t>
            </w:r>
          </w:p>
        </w:tc>
        <w:tc>
          <w:tcPr>
            <w:tcW w:w="1689"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3,0 [2,2; 3,8]</w:t>
            </w:r>
          </w:p>
        </w:tc>
        <w:tc>
          <w:tcPr>
            <w:tcW w:w="1743"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[0,2; 1,1]</w:t>
            </w:r>
          </w:p>
        </w:tc>
        <w:tc>
          <w:tcPr>
            <w:tcW w:w="1811"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0,8 [0,4; 1,3]</w:t>
            </w:r>
          </w:p>
        </w:tc>
        <w:tc>
          <w:tcPr>
            <w:tcW w:w="1382"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5,9 [4,6; 7,2]</w:t>
            </w:r>
          </w:p>
        </w:tc>
        <w:tc>
          <w:tcPr>
            <w:tcW w:w="1415"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1,7 [1,0; 2,4]</w:t>
            </w:r>
          </w:p>
        </w:tc>
        <w:tc>
          <w:tcPr>
            <w:tcW w:w="1645" w:type="dxa"/>
            <w:tcBorders>
              <w:top w:val="single" w:sz="4" w:space="0" w:color="auto"/>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0,2 [0,1; 0,3]</w:t>
            </w:r>
          </w:p>
        </w:tc>
        <w:tc>
          <w:tcPr>
            <w:tcW w:w="1746"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12,2 [10,4; 13,9]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25-29</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2,3 [1,5; 3,1]</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6,8 [5,5; 8,0]</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0,4 [0,2; 0,6]</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1,3 [0,5; 2,1]</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4,5 [3,6; 5,4]</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0,9 [0,5; 1,3]</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[0,3; 1,1]</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14,5 [12,7; 16,2]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30-34</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2,2 [1,5; 3,0]</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14,9 [13,0; 16,8]</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1,3 [0,7; 1,8]</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2,1 [1,2; 3,0]</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5,3 [4,1; 6,5]</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1,6 [0,9; 2,2]</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0,5 [0,2; 0,8]</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23,3 [21,0; 25,6]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35-39</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3,7 [2,2; 5,1]</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19,0 [16,9; 21,1]</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2,3 [1,6; 3,0]</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2,1 [1,1; 3,1]</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4,4 [3,2; 5,6]</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0,9 [0,5; 1,3]</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[0,3; 1,2]</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27,7 [25,2; 30,2]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40-44</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2,5 [1,6; 3,4]</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25,9 [23,4; 28,4]</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4,5 [3,2; 5,8]</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3,8 [2,6; 5,0]</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5,3 [3,9; 6,7]</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1,6 [0,7; 2,4]</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1,2 [0,4; 2,0]</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37,5 [34,7; 40,2]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45-49</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3,2 [2,1; 4,2]</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37,3 [34,4; 40,2]</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6,5 [5,0; 8,0]</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3,3 [1,9; 4,7]</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6,3 [4,7; 7,8]</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1,6 [0,8; 2,5]</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1,1 [0,5; 1,7]</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46,6 [43,5; 49,6]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50-54</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3,3 [2,0; 4,5]</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44,0 [40,6; 47,4]</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8,2 [6,7; 9,7]</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3,8 [2,9; 4,8]</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4,1 [3,0; 5,3]</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1,4 [0,8; 2,0]</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1,2 [0,6; 1,9]</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52,1 [48,7; 55,5]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55-59</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2,6 [1,6; 3,5]</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54,4 [51,1; 57,8]</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13,5 [11,1; 15,9]</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8,7 [6,3; 11,1]</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4,1 [2,7; 5,4]</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1,7 [0,9; 2,6]</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1,1 [0,5; 1,7]</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62,2 [58,9; 65,4] </w:t>
            </w:r>
          </w:p>
        </w:tc>
      </w:tr>
      <w:tr w:rsidR="00F0364B" w:rsidRPr="002E60B7" w:rsidTr="00F0364B">
        <w:trPr>
          <w:trHeight w:val="144"/>
        </w:trPr>
        <w:tc>
          <w:tcPr>
            <w:tcW w:w="1260" w:type="dxa"/>
            <w:tcBorders>
              <w:top w:val="nil"/>
              <w:left w:val="nil"/>
              <w:bottom w:val="single" w:sz="4" w:space="0" w:color="auto"/>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60+</w:t>
            </w:r>
          </w:p>
        </w:tc>
        <w:tc>
          <w:tcPr>
            <w:tcW w:w="1821" w:type="dxa"/>
            <w:tcBorders>
              <w:top w:val="nil"/>
              <w:left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2,2 [1,5; 2,9]</w:t>
            </w:r>
          </w:p>
        </w:tc>
        <w:tc>
          <w:tcPr>
            <w:tcW w:w="1689"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67,0 [65,0; 69,0]</w:t>
            </w:r>
          </w:p>
        </w:tc>
        <w:tc>
          <w:tcPr>
            <w:tcW w:w="1743"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19,7 [18,0; 21,4]</w:t>
            </w:r>
          </w:p>
        </w:tc>
        <w:tc>
          <w:tcPr>
            <w:tcW w:w="1811"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10,7 [9,5; 12,0]</w:t>
            </w:r>
          </w:p>
        </w:tc>
        <w:tc>
          <w:tcPr>
            <w:tcW w:w="1382"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5,2 [4,3; 6,1]</w:t>
            </w:r>
          </w:p>
        </w:tc>
        <w:tc>
          <w:tcPr>
            <w:tcW w:w="1415"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3,6 [2,8; 4,4]</w:t>
            </w:r>
          </w:p>
        </w:tc>
        <w:tc>
          <w:tcPr>
            <w:tcW w:w="1645" w:type="dxa"/>
            <w:tcBorders>
              <w:top w:val="nil"/>
              <w:bottom w:val="single" w:sz="4" w:space="0" w:color="auto"/>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1,1 [0,7; 1,5]</w:t>
            </w:r>
          </w:p>
        </w:tc>
        <w:tc>
          <w:tcPr>
            <w:tcW w:w="1746"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75,0 [73,2; 76,8] </w:t>
            </w:r>
          </w:p>
        </w:tc>
      </w:tr>
      <w:tr w:rsidR="00F0364B" w:rsidRPr="002E60B7" w:rsidTr="00F0364B">
        <w:trPr>
          <w:trHeight w:val="144"/>
        </w:trPr>
        <w:tc>
          <w:tcPr>
            <w:tcW w:w="1260" w:type="dxa"/>
            <w:tcBorders>
              <w:top w:val="nil"/>
              <w:left w:val="nil"/>
              <w:bottom w:val="single" w:sz="4" w:space="0" w:color="auto"/>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Homens</w:t>
            </w:r>
          </w:p>
        </w:tc>
        <w:tc>
          <w:tcPr>
            <w:tcW w:w="1821" w:type="dxa"/>
            <w:tcBorders>
              <w:top w:val="single" w:sz="4" w:space="0" w:color="auto"/>
              <w:left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689"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743"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811"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382"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415"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645" w:type="dxa"/>
            <w:tcBorders>
              <w:top w:val="single" w:sz="4" w:space="0" w:color="auto"/>
              <w:bottom w:val="single" w:sz="4" w:space="0" w:color="auto"/>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746"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r>
      <w:tr w:rsidR="00F0364B" w:rsidRPr="002E60B7" w:rsidTr="00F0364B">
        <w:trPr>
          <w:trHeight w:val="144"/>
        </w:trPr>
        <w:tc>
          <w:tcPr>
            <w:tcW w:w="1260" w:type="dxa"/>
            <w:tcBorders>
              <w:top w:val="single" w:sz="4" w:space="0" w:color="auto"/>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18-24</w:t>
            </w:r>
          </w:p>
        </w:tc>
        <w:tc>
          <w:tcPr>
            <w:tcW w:w="1821"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0,5 [0,1; 0,9]</w:t>
            </w:r>
          </w:p>
        </w:tc>
        <w:tc>
          <w:tcPr>
            <w:tcW w:w="1689"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9,7 [7,7; 11,7]</w:t>
            </w:r>
          </w:p>
        </w:tc>
        <w:tc>
          <w:tcPr>
            <w:tcW w:w="1743"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0,4 [0,1; 0,7]</w:t>
            </w:r>
          </w:p>
        </w:tc>
        <w:tc>
          <w:tcPr>
            <w:tcW w:w="1811"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0,8 [0,2; 1,5]</w:t>
            </w:r>
          </w:p>
        </w:tc>
        <w:tc>
          <w:tcPr>
            <w:tcW w:w="1382"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4,7 [3,7; 5,8]</w:t>
            </w:r>
          </w:p>
        </w:tc>
        <w:tc>
          <w:tcPr>
            <w:tcW w:w="1415"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1,5 [0,7; 2,3]</w:t>
            </w:r>
          </w:p>
        </w:tc>
        <w:tc>
          <w:tcPr>
            <w:tcW w:w="1645" w:type="dxa"/>
            <w:tcBorders>
              <w:top w:val="single" w:sz="4" w:space="0" w:color="auto"/>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0,1 [0,0; 0,2]</w:t>
            </w:r>
          </w:p>
        </w:tc>
        <w:tc>
          <w:tcPr>
            <w:tcW w:w="1746"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15,7 [13,5; 18,0]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25-29</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0,9 [0,4; 1,4]</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15,2 [12,7; 17,6]</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1,0 [0,3; 1,7]</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0,6 [0,2; 1,0]</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3,4 [2,2; 4,5]</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1,8 [0,9; 2,7]</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0,3 [0,1; 0,6]</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21,0 [18,4; 23,6]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30-34</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0,8 [0,3; 1,3]</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18,2 [15,6; 20,8]</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0,6 [0,2; 1,0]</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[0,2; 1,2]</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3,2 [2,0; 4,3]</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0,6 [0,3; 0,9]</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0,2 [0,0; 0,5]</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22,7 [19,9; 25,4]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35-39</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1,0 [0,5; 1,4]</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24,0 [21,3; 26,6]</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2,0 [0,8; 3,2]</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2,2 [1,2; 3,1]</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4,8 [3,3; 6,4]</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0,6 [0,3; 1,0]</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0,4 [0,1; 0,7]</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31,4 [28,6; 34,2]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40-44</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[0,2; 1,1]</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33,1 [29,9; 36,3]</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3,2 [2,1; 4,3]</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1,8 [0,9; 2,7]</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1,7 [1,1; 2,3]</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1,7 [0,9; 2,6]</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0,3 [0,1; 0,4]</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37,2 [34,0; 40,5]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45-49</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1,0 [0,2; 1,8]</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36,6 [33,4; 39,8]</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4,1 [2,7; 5,4]</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3,4 [2,3; 4,6]</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3,6 [2,4; 4,8]</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1,0 [0,4; 1,5]</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1,1 [0,5; 1,7]</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43,0 [39,7; 46,3]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50-54</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1,2 [0,5; 1,9]</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47,9 [44,2; 51,7]</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7,4 [5,6; 9,2]</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4,6 [3,0; 6,2]</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2,9 [1,9; 3,9]</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1,5 [0,8; 2,2]</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1,7 [0,6; 2,8]</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54,6 [50,9; 58,3]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55-59</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1,1 [0,4; 1,8]</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52,8 [48,8; 56,8]</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12,1 [8,6; 15,6]</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6,5 [4,5; 8,4]</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2,2 [1,3; 3,0]</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1,3 [0,7; 2,0]</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1,3 [0,6; 2,0]</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60,6 [56,6; 64,6] </w:t>
            </w:r>
          </w:p>
        </w:tc>
      </w:tr>
      <w:tr w:rsidR="00F0364B" w:rsidRPr="002E60B7" w:rsidTr="00F0364B">
        <w:trPr>
          <w:trHeight w:val="144"/>
        </w:trPr>
        <w:tc>
          <w:tcPr>
            <w:tcW w:w="1260" w:type="dxa"/>
            <w:tcBorders>
              <w:top w:val="nil"/>
              <w:left w:val="nil"/>
              <w:bottom w:val="single" w:sz="4" w:space="0" w:color="auto"/>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60+</w:t>
            </w:r>
          </w:p>
        </w:tc>
        <w:tc>
          <w:tcPr>
            <w:tcW w:w="1821"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[0,2; 1,2]</w:t>
            </w:r>
          </w:p>
        </w:tc>
        <w:tc>
          <w:tcPr>
            <w:tcW w:w="1689"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64,8 [62,6; 67,0]</w:t>
            </w:r>
          </w:p>
        </w:tc>
        <w:tc>
          <w:tcPr>
            <w:tcW w:w="1743"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16,1 [14,1; 18,1]</w:t>
            </w:r>
          </w:p>
        </w:tc>
        <w:tc>
          <w:tcPr>
            <w:tcW w:w="1811"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12,3 [10,3; 14,2]</w:t>
            </w:r>
          </w:p>
        </w:tc>
        <w:tc>
          <w:tcPr>
            <w:tcW w:w="1382"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4,2 [3,1; 5,2]</w:t>
            </w:r>
          </w:p>
        </w:tc>
        <w:tc>
          <w:tcPr>
            <w:tcW w:w="1415"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4,2 [3,1; 5,3]</w:t>
            </w:r>
          </w:p>
        </w:tc>
        <w:tc>
          <w:tcPr>
            <w:tcW w:w="1645" w:type="dxa"/>
            <w:tcBorders>
              <w:top w:val="nil"/>
              <w:left w:val="nil"/>
              <w:bottom w:val="single" w:sz="4" w:space="0" w:color="auto"/>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2,1 [1,3; 2,9]</w:t>
            </w:r>
          </w:p>
        </w:tc>
        <w:tc>
          <w:tcPr>
            <w:tcW w:w="1746"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73,1 [71,2; 75,1] </w:t>
            </w:r>
          </w:p>
        </w:tc>
      </w:tr>
    </w:tbl>
    <w:p w:rsidR="00F0364B" w:rsidRPr="002E60B7" w:rsidRDefault="00F0364B" w:rsidP="00F0364B">
      <w:pPr>
        <w:spacing w:before="0" w:after="0" w:line="240" w:lineRule="auto"/>
        <w:rPr>
          <w:rFonts w:ascii="Times New Roman" w:hAnsi="Times New Roman"/>
          <w:b/>
          <w:color w:val="000000"/>
          <w:lang w:val="pt-BR"/>
        </w:rPr>
      </w:pPr>
      <w:r w:rsidRPr="002E60B7">
        <w:rPr>
          <w:rFonts w:ascii="Times New Roman" w:hAnsi="Times New Roman"/>
          <w:b/>
          <w:color w:val="000000"/>
          <w:lang w:val="pt-BR"/>
        </w:rPr>
        <w:t>Fonte: IBGE, Pesquisa Nacional de Saúde 2013</w:t>
      </w:r>
    </w:p>
    <w:p w:rsidR="00F0364B" w:rsidRDefault="00F0364B" w:rsidP="00F0364B">
      <w:pPr>
        <w:rPr>
          <w:rFonts w:ascii="Times New Roman" w:hAnsi="Times New Roman"/>
          <w:b/>
          <w:color w:val="000000"/>
          <w:lang w:val="pt-BR"/>
        </w:rPr>
        <w:sectPr w:rsidR="00F0364B" w:rsidSect="00E656AC">
          <w:pgSz w:w="15840" w:h="12240" w:orient="landscape"/>
          <w:pgMar w:top="720" w:right="806" w:bottom="720" w:left="720" w:header="720" w:footer="720" w:gutter="0"/>
          <w:cols w:space="720"/>
          <w:docGrid w:linePitch="326"/>
        </w:sectPr>
      </w:pPr>
    </w:p>
    <w:p w:rsidR="00944D78" w:rsidRDefault="00944D78">
      <w:pPr>
        <w:suppressAutoHyphens w:val="0"/>
        <w:spacing w:before="0" w:after="0" w:line="240" w:lineRule="auto"/>
        <w:jc w:val="left"/>
        <w:rPr>
          <w:rFonts w:ascii="Times New Roman" w:hAnsi="Times New Roman"/>
          <w:color w:val="000000" w:themeColor="text1"/>
          <w:lang w:val="pt-BR"/>
        </w:rPr>
      </w:pPr>
    </w:p>
    <w:p w:rsidR="00B601FA" w:rsidRDefault="004E3D9B">
      <w:pPr>
        <w:rPr>
          <w:rFonts w:ascii="Times New Roman" w:hAnsi="Times New Roman"/>
          <w:color w:val="000000" w:themeColor="text1"/>
          <w:lang w:val="pt-BR"/>
        </w:rPr>
      </w:pPr>
      <w:r w:rsidRPr="00944D78">
        <w:rPr>
          <w:rFonts w:ascii="Times New Roman" w:hAnsi="Times New Roman"/>
          <w:color w:val="000000" w:themeColor="text1"/>
          <w:lang w:val="pt-BR"/>
        </w:rPr>
        <w:t>A Tabela 2 apresenta o tamanho da amostra dos moradores com 18 anos ou mais que responderam ao questionário individual, bem como a população estimada considerando o desenho amostra da pesquisa seg</w:t>
      </w:r>
      <w:r w:rsidRPr="00944D78">
        <w:rPr>
          <w:rFonts w:ascii="Times New Roman" w:hAnsi="Times New Roman"/>
          <w:color w:val="000000" w:themeColor="text1"/>
          <w:lang w:val="pt-BR"/>
        </w:rPr>
        <w:t>undo as categorias de análise selecionadas para este estudo. Destaca-se o pequeno número de observações dos moradores que se declararam como amarelos (533) e indígenas (417). A Tabela 2 apresenta, ainda, a prevalência de pelo menos uma condição pré-existen</w:t>
      </w:r>
      <w:r w:rsidRPr="00944D78">
        <w:rPr>
          <w:rFonts w:ascii="Times New Roman" w:hAnsi="Times New Roman"/>
          <w:color w:val="000000" w:themeColor="text1"/>
          <w:lang w:val="pt-BR"/>
        </w:rPr>
        <w:t>te relacionada a COVID-19 e seus intervalos de confiança para as categorias em questão. Chama-se atenção para o crescimento da prevalência com o aumento da idade, prevalências próximas para ambos os sexos, e mais alta prevalência para os moradores sem inst</w:t>
      </w:r>
      <w:r w:rsidRPr="00944D78">
        <w:rPr>
          <w:rFonts w:ascii="Times New Roman" w:hAnsi="Times New Roman"/>
          <w:color w:val="000000" w:themeColor="text1"/>
          <w:lang w:val="pt-BR"/>
        </w:rPr>
        <w:t>rução ou fundamental incompleto, 52,6%[51,6%; 53,7%] e fora da força de trabalho, 52,5%[51,4%; 53,6%].</w:t>
      </w:r>
    </w:p>
    <w:p w:rsidR="00E656AC" w:rsidRDefault="00E656AC">
      <w:pPr>
        <w:suppressAutoHyphens w:val="0"/>
        <w:spacing w:before="0" w:after="0" w:line="240" w:lineRule="auto"/>
        <w:jc w:val="left"/>
        <w:rPr>
          <w:rFonts w:ascii="Times New Roman" w:hAnsi="Times New Roman"/>
          <w:b/>
          <w:color w:val="000000"/>
          <w:lang w:val="pt-BR"/>
        </w:rPr>
      </w:pPr>
      <w:r>
        <w:rPr>
          <w:rFonts w:ascii="Times New Roman" w:hAnsi="Times New Roman"/>
          <w:b/>
          <w:color w:val="000000"/>
          <w:lang w:val="pt-BR"/>
        </w:rPr>
        <w:br w:type="page"/>
      </w:r>
    </w:p>
    <w:p w:rsidR="00E656AC" w:rsidRPr="00A90C53" w:rsidRDefault="00E656AC" w:rsidP="00E656AC">
      <w:pPr>
        <w:spacing w:before="0" w:after="0" w:line="240" w:lineRule="auto"/>
        <w:rPr>
          <w:rFonts w:ascii="Times New Roman" w:hAnsi="Times New Roman"/>
          <w:b/>
          <w:color w:val="000000"/>
          <w:lang w:val="pt-BR"/>
        </w:rPr>
      </w:pPr>
      <w:r w:rsidRPr="00A90C53">
        <w:rPr>
          <w:rFonts w:ascii="Times New Roman" w:hAnsi="Times New Roman"/>
          <w:b/>
          <w:color w:val="000000"/>
          <w:lang w:val="pt-BR"/>
        </w:rPr>
        <w:lastRenderedPageBreak/>
        <w:t xml:space="preserve">Tabela 2 – Tamanho da amostra(n), população estimada e </w:t>
      </w:r>
      <w:r w:rsidRPr="00A90C53">
        <w:rPr>
          <w:rFonts w:ascii="Times New Roman" w:hAnsi="Times New Roman"/>
          <w:b/>
          <w:bCs/>
          <w:color w:val="000000"/>
          <w:lang w:val="pt-BR" w:eastAsia="en-US"/>
        </w:rPr>
        <w:t>prevalência de pelo menos uma condição pré-existente relacionada</w:t>
      </w:r>
      <w:r w:rsidRPr="00A90C53">
        <w:rPr>
          <w:rFonts w:ascii="Times New Roman" w:hAnsi="Times New Roman"/>
          <w:b/>
          <w:color w:val="000000"/>
          <w:lang w:val="pt-BR"/>
        </w:rPr>
        <w:t xml:space="preserve"> a COVID-19 – Brasil, 2013</w:t>
      </w:r>
    </w:p>
    <w:tbl>
      <w:tblPr>
        <w:tblW w:w="11594" w:type="dxa"/>
        <w:tblInd w:w="-342" w:type="dxa"/>
        <w:tblLook w:val="04A0" w:firstRow="1" w:lastRow="0" w:firstColumn="1" w:lastColumn="0" w:noHBand="0" w:noVBand="1"/>
      </w:tblPr>
      <w:tblGrid>
        <w:gridCol w:w="4616"/>
        <w:gridCol w:w="1116"/>
        <w:gridCol w:w="2378"/>
        <w:gridCol w:w="3484"/>
      </w:tblGrid>
      <w:tr w:rsidR="00E656AC" w:rsidRPr="00A90C53" w:rsidTr="009D0705">
        <w:trPr>
          <w:trHeight w:val="20"/>
        </w:trPr>
        <w:tc>
          <w:tcPr>
            <w:tcW w:w="4616" w:type="dxa"/>
            <w:tcBorders>
              <w:top w:val="single" w:sz="4" w:space="0" w:color="auto"/>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b/>
                <w:bCs/>
                <w:color w:val="000000"/>
                <w:lang w:val="pt-BR" w:eastAsia="en-US"/>
              </w:rPr>
            </w:pPr>
            <w:r w:rsidRPr="00A90C53">
              <w:rPr>
                <w:rFonts w:ascii="Times New Roman" w:hAnsi="Times New Roman"/>
                <w:b/>
                <w:bCs/>
                <w:color w:val="000000"/>
                <w:lang w:val="pt-BR" w:eastAsia="en-US"/>
              </w:rPr>
              <w:t>Variável</w:t>
            </w:r>
          </w:p>
        </w:tc>
        <w:tc>
          <w:tcPr>
            <w:tcW w:w="1116" w:type="dxa"/>
            <w:tcBorders>
              <w:top w:val="single" w:sz="4" w:space="0" w:color="auto"/>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b/>
                <w:bCs/>
                <w:color w:val="000000"/>
                <w:lang w:val="pt-BR" w:eastAsia="en-US"/>
              </w:rPr>
            </w:pPr>
            <w:r w:rsidRPr="00A90C53">
              <w:rPr>
                <w:rFonts w:ascii="Times New Roman" w:hAnsi="Times New Roman"/>
                <w:b/>
                <w:bCs/>
                <w:color w:val="000000"/>
                <w:lang w:val="pt-BR" w:eastAsia="en-US"/>
              </w:rPr>
              <w:t>Amostra (n)</w:t>
            </w:r>
          </w:p>
        </w:tc>
        <w:tc>
          <w:tcPr>
            <w:tcW w:w="2378" w:type="dxa"/>
            <w:tcBorders>
              <w:top w:val="single" w:sz="4" w:space="0" w:color="auto"/>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b/>
                <w:bCs/>
                <w:color w:val="000000"/>
                <w:lang w:val="pt-BR" w:eastAsia="en-US"/>
              </w:rPr>
            </w:pPr>
            <w:r w:rsidRPr="00A90C53">
              <w:rPr>
                <w:rFonts w:ascii="Times New Roman" w:hAnsi="Times New Roman"/>
                <w:b/>
                <w:bCs/>
                <w:color w:val="000000"/>
                <w:lang w:val="pt-BR" w:eastAsia="en-US"/>
              </w:rPr>
              <w:t>População estimada</w:t>
            </w:r>
          </w:p>
        </w:tc>
        <w:tc>
          <w:tcPr>
            <w:tcW w:w="3484" w:type="dxa"/>
            <w:tcBorders>
              <w:top w:val="single" w:sz="4" w:space="0" w:color="auto"/>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b/>
                <w:bCs/>
                <w:color w:val="000000"/>
                <w:lang w:val="pt-BR" w:eastAsia="en-US"/>
              </w:rPr>
            </w:pPr>
            <w:r w:rsidRPr="00A90C53">
              <w:rPr>
                <w:rFonts w:ascii="Times New Roman" w:hAnsi="Times New Roman"/>
                <w:b/>
                <w:bCs/>
                <w:color w:val="000000"/>
                <w:lang w:val="pt-BR" w:eastAsia="en-US"/>
              </w:rPr>
              <w:t>Prevalência de pelo menos uma condição pré-existente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Grupos de idade</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
                <w:iCs/>
                <w:color w:val="000000"/>
                <w:lang w:val="pt-BR" w:eastAsia="en-US"/>
              </w:rPr>
            </w:pPr>
            <w:r w:rsidRPr="00A90C53">
              <w:rPr>
                <w:rFonts w:ascii="Times New Roman" w:hAnsi="Times New Roman"/>
                <w:i/>
                <w:iCs/>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
                <w:iCs/>
                <w:color w:val="000000"/>
                <w:lang w:val="pt-BR" w:eastAsia="en-US"/>
              </w:rPr>
            </w:pPr>
            <w:r w:rsidRPr="00A90C53">
              <w:rPr>
                <w:rFonts w:ascii="Times New Roman" w:hAnsi="Times New Roman"/>
                <w:i/>
                <w:iCs/>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
                <w:iCs/>
                <w:color w:val="000000"/>
                <w:lang w:val="pt-BR" w:eastAsia="en-US"/>
              </w:rPr>
            </w:pPr>
            <w:r w:rsidRPr="00A90C53">
              <w:rPr>
                <w:rFonts w:ascii="Times New Roman" w:hAnsi="Times New Roman"/>
                <w:i/>
                <w:iCs/>
                <w:color w:val="000000"/>
                <w:lang w:val="pt-BR" w:eastAsia="en-US"/>
              </w:rPr>
              <w:t>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18-24</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7.823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23.306.033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14,1 [12,6; 15,5]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25-29</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6.498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14.851.817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18,1 [16,5; 19,7]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30-34</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7.425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16.788.072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23,1 [21,4; 24,9]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35-39</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6.844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14.855.019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29,6 [27,7; 31,4]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40-44</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5.973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13.225.702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37,4 [35,3; 39,4]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45-49</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5.432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13.197.422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44,9 [42,7; 47,2]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50-54</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4.814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12.402.142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53,3 [50,8; 55,8]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55-59</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4.216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11.274.420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61,4 [58,8; 64,0]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60+</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11.177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26.407.831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74,2 [72,9; 75,5]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Sexo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masculino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25.920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68.916.470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39,4 [38,5; 40,4]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feminino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34.282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77.391.988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40,5 [39,7; 41,3]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Grande Região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Sudeste</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14.294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64.074.682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43,5 [42,4; 44,6]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Norte</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12.536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10.885.968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28,2 [26,9; 29,5]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Nordeste</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18.305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38.947.575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35,8 [34,7; 36,9]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Sul</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7.548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21.624.664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43,8 [42,3; 45,4]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Centro-Oeste</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7.519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10.775.569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38,3 [36,9; 39,6]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Cor ou raça</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Branca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24.106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69.441.261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41,6 [40,6; 42,6]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Preta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5.631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13.454.163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42,8 [40,7; 45,0]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Amarela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533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1.371.822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37,9 [30,6; 45,1]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Parda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29.512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61.418.883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37,7 [36,8; 38,6]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Indígena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417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619.019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32,6 [24,8; 40,4]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Nível de instrução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r>
      <w:tr w:rsidR="00E656AC" w:rsidRPr="00A90C53" w:rsidTr="009D0705">
        <w:trPr>
          <w:trHeight w:val="20"/>
        </w:trPr>
        <w:tc>
          <w:tcPr>
            <w:tcW w:w="4616" w:type="dxa"/>
            <w:shd w:val="clear" w:color="auto" w:fill="auto"/>
            <w:noWrap/>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Sem instrução e fundamental incompleto</w:t>
            </w:r>
          </w:p>
        </w:tc>
        <w:tc>
          <w:tcPr>
            <w:tcW w:w="1116" w:type="dxa"/>
            <w:shd w:val="clear" w:color="auto" w:fill="auto"/>
            <w:noWrap/>
            <w:vAlign w:val="center"/>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24.083 </w:t>
            </w:r>
          </w:p>
        </w:tc>
        <w:tc>
          <w:tcPr>
            <w:tcW w:w="2378" w:type="dxa"/>
            <w:shd w:val="clear" w:color="auto" w:fill="auto"/>
            <w:noWrap/>
            <w:vAlign w:val="center"/>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56.960.795 </w:t>
            </w:r>
          </w:p>
        </w:tc>
        <w:tc>
          <w:tcPr>
            <w:tcW w:w="3484" w:type="dxa"/>
            <w:shd w:val="clear" w:color="auto" w:fill="auto"/>
            <w:noWrap/>
            <w:vAlign w:val="center"/>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52,6 [51,6; 53,7]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Fundamental completo e médio incompleto</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9.215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22.715.539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33,8 [32,1; 35,6]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Médio completo e superior incompleto</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19.149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47.995.480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30,0 [28,8; 31,2]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Superior completo</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7.755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18.636.644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34,3 [32,4; 36,1]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Condição na força de trabalho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Na força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38.420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95.052.182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33,3 [32,4; 34,1] </w:t>
            </w:r>
          </w:p>
        </w:tc>
      </w:tr>
      <w:tr w:rsidR="00E656AC" w:rsidRPr="00A90C53" w:rsidTr="009D0705">
        <w:trPr>
          <w:trHeight w:val="20"/>
        </w:trPr>
        <w:tc>
          <w:tcPr>
            <w:tcW w:w="4616" w:type="dxa"/>
            <w:tcBorders>
              <w:bottom w:val="single" w:sz="4" w:space="0" w:color="auto"/>
            </w:tcBorders>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Fora da força</w:t>
            </w:r>
          </w:p>
        </w:tc>
        <w:tc>
          <w:tcPr>
            <w:tcW w:w="1116" w:type="dxa"/>
            <w:tcBorders>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21.782 </w:t>
            </w:r>
          </w:p>
        </w:tc>
        <w:tc>
          <w:tcPr>
            <w:tcW w:w="2378" w:type="dxa"/>
            <w:tcBorders>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51.256.276 </w:t>
            </w:r>
          </w:p>
        </w:tc>
        <w:tc>
          <w:tcPr>
            <w:tcW w:w="3484" w:type="dxa"/>
            <w:tcBorders>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52,5 [51,4; 53,6] </w:t>
            </w:r>
          </w:p>
        </w:tc>
      </w:tr>
    </w:tbl>
    <w:p w:rsidR="00E656AC" w:rsidRPr="00A90C53" w:rsidRDefault="00E656AC" w:rsidP="00E656AC">
      <w:pPr>
        <w:spacing w:before="0" w:after="0" w:line="240" w:lineRule="auto"/>
        <w:rPr>
          <w:rFonts w:ascii="Times New Roman" w:hAnsi="Times New Roman"/>
          <w:b/>
          <w:color w:val="000000"/>
          <w:lang w:val="pt-BR"/>
        </w:rPr>
      </w:pPr>
      <w:r w:rsidRPr="00A90C53">
        <w:rPr>
          <w:rFonts w:ascii="Times New Roman" w:hAnsi="Times New Roman"/>
          <w:b/>
          <w:color w:val="000000"/>
          <w:lang w:val="pt-BR"/>
        </w:rPr>
        <w:t>Fonte: IBGE, Pesquisa Nacional de Saúde 2013</w:t>
      </w:r>
    </w:p>
    <w:p w:rsidR="00E656AC" w:rsidRDefault="004E3D9B">
      <w:pPr>
        <w:rPr>
          <w:rFonts w:ascii="Times New Roman" w:hAnsi="Times New Roman"/>
          <w:color w:val="000000" w:themeColor="text1"/>
          <w:lang w:val="pt-BR"/>
        </w:rPr>
      </w:pPr>
      <w:r w:rsidRPr="00944D78">
        <w:rPr>
          <w:rFonts w:ascii="Times New Roman" w:hAnsi="Times New Roman"/>
          <w:color w:val="000000" w:themeColor="text1"/>
          <w:lang w:val="pt-BR"/>
        </w:rPr>
        <w:t>A Tabela 3 apresenta o exponencial dos coeficientes estimados para cada categoria de cada uma das variáveis selecionadas para o modelo final. Para as var</w:t>
      </w:r>
      <w:r w:rsidRPr="00944D78">
        <w:rPr>
          <w:rFonts w:ascii="Times New Roman" w:hAnsi="Times New Roman"/>
          <w:color w:val="000000" w:themeColor="text1"/>
          <w:lang w:val="pt-BR"/>
        </w:rPr>
        <w:t>iáveis que não entram no modelo com interação (Grande Região, cor ou raça, nível de instrução e condição na força de trabalho), os indicadores apresentados se referem à Razão de Chances (RC) de pertencimento ao grupo de risco por condições pré-existentes p</w:t>
      </w:r>
      <w:r w:rsidRPr="00944D78">
        <w:rPr>
          <w:rFonts w:ascii="Times New Roman" w:hAnsi="Times New Roman"/>
          <w:color w:val="000000" w:themeColor="text1"/>
          <w:lang w:val="pt-BR"/>
        </w:rPr>
        <w:t>ara estas variáveis, comparando cada categoria com a categoria de referência. Para as variáveis que entram no modelo através de interações, a interpretação dos coeficientes deve considerar ambas as variáveis conjuntamente.</w:t>
      </w:r>
    </w:p>
    <w:p w:rsidR="00E656AC" w:rsidRDefault="00E656AC">
      <w:pPr>
        <w:suppressAutoHyphens w:val="0"/>
        <w:spacing w:before="0" w:after="0" w:line="240" w:lineRule="auto"/>
        <w:jc w:val="left"/>
        <w:rPr>
          <w:rFonts w:ascii="Times New Roman" w:hAnsi="Times New Roman"/>
          <w:color w:val="000000" w:themeColor="text1"/>
          <w:lang w:val="pt-BR"/>
        </w:rPr>
      </w:pPr>
      <w:r>
        <w:rPr>
          <w:rFonts w:ascii="Times New Roman" w:hAnsi="Times New Roman"/>
          <w:color w:val="000000" w:themeColor="text1"/>
          <w:lang w:val="pt-BR"/>
        </w:rPr>
        <w:br w:type="page"/>
      </w:r>
    </w:p>
    <w:p w:rsidR="00E656AC" w:rsidRPr="006E2024" w:rsidRDefault="00E656AC" w:rsidP="00E656AC">
      <w:pPr>
        <w:spacing w:before="0" w:after="0" w:line="240" w:lineRule="auto"/>
        <w:rPr>
          <w:rFonts w:ascii="Times New Roman" w:hAnsi="Times New Roman"/>
          <w:b/>
          <w:color w:val="000000"/>
          <w:lang w:val="pt-BR"/>
        </w:rPr>
      </w:pPr>
      <w:r w:rsidRPr="006E2024">
        <w:rPr>
          <w:rFonts w:ascii="Times New Roman" w:hAnsi="Times New Roman"/>
          <w:b/>
          <w:color w:val="000000"/>
          <w:lang w:val="pt-BR"/>
        </w:rPr>
        <w:lastRenderedPageBreak/>
        <w:t>Tabela 3 – Exponencial dos coeficientes estimados, intervalos de confiança e p-valor segundo variáveis ajustadas no modelo de regressão logística de morbidades e fatores de risco associados a COVID-19 – Brasil, 2013</w:t>
      </w:r>
    </w:p>
    <w:tbl>
      <w:tblPr>
        <w:tblW w:w="10022" w:type="dxa"/>
        <w:tblLook w:val="04A0" w:firstRow="1" w:lastRow="0" w:firstColumn="1" w:lastColumn="0" w:noHBand="0" w:noVBand="1"/>
      </w:tblPr>
      <w:tblGrid>
        <w:gridCol w:w="4590"/>
        <w:gridCol w:w="1816"/>
        <w:gridCol w:w="1980"/>
        <w:gridCol w:w="1636"/>
      </w:tblGrid>
      <w:tr w:rsidR="00E656AC" w:rsidRPr="006E2024" w:rsidTr="009D0705">
        <w:trPr>
          <w:trHeight w:val="20"/>
        </w:trPr>
        <w:tc>
          <w:tcPr>
            <w:tcW w:w="4590" w:type="dxa"/>
            <w:tcBorders>
              <w:top w:val="single" w:sz="4" w:space="0" w:color="auto"/>
              <w:bottom w:val="single" w:sz="4" w:space="0" w:color="auto"/>
            </w:tcBorders>
            <w:shd w:val="clear" w:color="auto" w:fill="auto"/>
            <w:noWrap/>
            <w:vAlign w:val="center"/>
            <w:hideMark/>
          </w:tcPr>
          <w:p w:rsidR="00E656AC" w:rsidRPr="006E2024" w:rsidRDefault="00E656AC" w:rsidP="009D0705">
            <w:pPr>
              <w:spacing w:before="0" w:after="0" w:line="240" w:lineRule="auto"/>
              <w:jc w:val="center"/>
              <w:rPr>
                <w:rFonts w:ascii="Times New Roman" w:hAnsi="Times New Roman"/>
                <w:b/>
                <w:bCs/>
                <w:color w:val="000000"/>
                <w:lang w:val="pt-BR" w:eastAsia="en-US"/>
              </w:rPr>
            </w:pPr>
            <w:r w:rsidRPr="006E2024">
              <w:rPr>
                <w:rFonts w:ascii="Times New Roman" w:hAnsi="Times New Roman"/>
                <w:b/>
                <w:bCs/>
                <w:color w:val="000000"/>
                <w:lang w:val="pt-BR" w:eastAsia="en-US"/>
              </w:rPr>
              <w:t>Variável</w:t>
            </w:r>
          </w:p>
        </w:tc>
        <w:tc>
          <w:tcPr>
            <w:tcW w:w="1816" w:type="dxa"/>
            <w:tcBorders>
              <w:top w:val="single" w:sz="4" w:space="0" w:color="auto"/>
              <w:bottom w:val="single" w:sz="4" w:space="0" w:color="auto"/>
            </w:tcBorders>
            <w:shd w:val="clear" w:color="auto" w:fill="auto"/>
            <w:noWrap/>
            <w:vAlign w:val="center"/>
            <w:hideMark/>
          </w:tcPr>
          <w:p w:rsidR="00E656AC" w:rsidRPr="006E2024" w:rsidRDefault="00E656AC" w:rsidP="009D0705">
            <w:pPr>
              <w:spacing w:before="0" w:after="0" w:line="240" w:lineRule="auto"/>
              <w:jc w:val="center"/>
              <w:rPr>
                <w:rFonts w:ascii="Times New Roman" w:hAnsi="Times New Roman"/>
                <w:b/>
                <w:bCs/>
                <w:color w:val="000000"/>
                <w:lang w:val="pt-BR" w:eastAsia="en-US"/>
              </w:rPr>
            </w:pPr>
            <w:proofErr w:type="spellStart"/>
            <w:r w:rsidRPr="006E2024">
              <w:rPr>
                <w:rFonts w:ascii="Times New Roman" w:hAnsi="Times New Roman"/>
                <w:b/>
                <w:bCs/>
                <w:color w:val="000000"/>
                <w:lang w:val="pt-BR" w:eastAsia="en-US"/>
              </w:rPr>
              <w:t>exp</w:t>
            </w:r>
            <w:proofErr w:type="spellEnd"/>
            <w:r w:rsidRPr="006E2024">
              <w:rPr>
                <w:rFonts w:ascii="Times New Roman" w:hAnsi="Times New Roman"/>
                <w:b/>
                <w:bCs/>
                <w:color w:val="000000"/>
                <w:lang w:val="pt-BR" w:eastAsia="en-US"/>
              </w:rPr>
              <w:t xml:space="preserve">(coeficiente) </w:t>
            </w:r>
          </w:p>
        </w:tc>
        <w:tc>
          <w:tcPr>
            <w:tcW w:w="1980" w:type="dxa"/>
            <w:tcBorders>
              <w:top w:val="single" w:sz="4" w:space="0" w:color="auto"/>
              <w:bottom w:val="single" w:sz="4" w:space="0" w:color="auto"/>
            </w:tcBorders>
            <w:shd w:val="clear" w:color="auto" w:fill="auto"/>
            <w:noWrap/>
            <w:vAlign w:val="center"/>
            <w:hideMark/>
          </w:tcPr>
          <w:p w:rsidR="00E656AC" w:rsidRPr="006E2024" w:rsidRDefault="00E656AC" w:rsidP="009D0705">
            <w:pPr>
              <w:spacing w:before="0" w:after="0" w:line="240" w:lineRule="auto"/>
              <w:jc w:val="center"/>
              <w:rPr>
                <w:rFonts w:ascii="Times New Roman" w:hAnsi="Times New Roman"/>
                <w:b/>
                <w:bCs/>
                <w:color w:val="000000"/>
                <w:lang w:val="pt-BR" w:eastAsia="en-US"/>
              </w:rPr>
            </w:pPr>
            <w:r w:rsidRPr="006E2024">
              <w:rPr>
                <w:rFonts w:ascii="Times New Roman" w:hAnsi="Times New Roman"/>
                <w:b/>
                <w:bCs/>
                <w:color w:val="000000"/>
                <w:lang w:val="pt-BR" w:eastAsia="en-US"/>
              </w:rPr>
              <w:t>Intervalos de confiança (95%)</w:t>
            </w:r>
          </w:p>
        </w:tc>
        <w:tc>
          <w:tcPr>
            <w:tcW w:w="1636" w:type="dxa"/>
            <w:tcBorders>
              <w:top w:val="single" w:sz="4" w:space="0" w:color="auto"/>
              <w:bottom w:val="single" w:sz="4" w:space="0" w:color="auto"/>
            </w:tcBorders>
            <w:shd w:val="clear" w:color="auto" w:fill="auto"/>
            <w:noWrap/>
            <w:vAlign w:val="center"/>
            <w:hideMark/>
          </w:tcPr>
          <w:p w:rsidR="00E656AC" w:rsidRPr="006E2024" w:rsidRDefault="00E656AC" w:rsidP="009D0705">
            <w:pPr>
              <w:spacing w:before="0" w:after="0" w:line="240" w:lineRule="auto"/>
              <w:jc w:val="center"/>
              <w:rPr>
                <w:rFonts w:ascii="Times New Roman" w:hAnsi="Times New Roman"/>
                <w:b/>
                <w:bCs/>
                <w:color w:val="000000"/>
                <w:lang w:val="pt-BR" w:eastAsia="en-US"/>
              </w:rPr>
            </w:pPr>
            <w:r w:rsidRPr="006E2024">
              <w:rPr>
                <w:rFonts w:ascii="Times New Roman" w:hAnsi="Times New Roman"/>
                <w:b/>
                <w:bCs/>
                <w:color w:val="000000"/>
                <w:lang w:val="pt-BR" w:eastAsia="en-US"/>
              </w:rPr>
              <w:t>p-valor</w:t>
            </w:r>
          </w:p>
        </w:tc>
      </w:tr>
      <w:tr w:rsidR="00E656AC" w:rsidRPr="006E2024" w:rsidTr="009D0705">
        <w:trPr>
          <w:trHeight w:val="20"/>
        </w:trPr>
        <w:tc>
          <w:tcPr>
            <w:tcW w:w="4590" w:type="dxa"/>
            <w:tcBorders>
              <w:top w:val="single" w:sz="4" w:space="0" w:color="auto"/>
            </w:tcBorders>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Intercepto</w:t>
            </w:r>
          </w:p>
        </w:tc>
        <w:tc>
          <w:tcPr>
            <w:tcW w:w="1816" w:type="dxa"/>
            <w:tcBorders>
              <w:top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0,16</w:t>
            </w:r>
          </w:p>
        </w:tc>
        <w:tc>
          <w:tcPr>
            <w:tcW w:w="1980" w:type="dxa"/>
            <w:tcBorders>
              <w:top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0,13, 0,19</w:t>
            </w:r>
          </w:p>
        </w:tc>
        <w:tc>
          <w:tcPr>
            <w:tcW w:w="1636" w:type="dxa"/>
            <w:tcBorders>
              <w:top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Grupos de idade</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18-24</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25-29</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1,49</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1,17, 1,90</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30-34</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1,61</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1,29, 2,01</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35-39</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2,51</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2,02, 3,13</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40-44</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3,17</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2,54, 3,97</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45-49</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4,00</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3,21, 4,99</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50-54</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6,20</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4,97, 7,74</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55-59</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7,66</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5,94, 9,87</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60+</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12,5</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10,2, 15,4</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Sexo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masculino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0,75</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0,59, 0,96</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0,02</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Grupos de idade x sexo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25-29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0,86</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0,63, 1,19</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0,4</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30-34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1,38</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1,02, 1,86</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0,037</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35-39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1,09</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0,81, 1,48</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0,6</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40-44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1,33</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0,99, 1,79</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0,059</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45-49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1,47</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1,09, 1,98</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0,012</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50-54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1,14</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0,84, 1,56</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0,4</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55-59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1,37</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0,99, 1,90</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0,057</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60+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1,40</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1,06, 1,85</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0,017</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Grande Região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Sudeste</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Norte</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0,55</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0,50, 0,61</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Nordeste</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0,70</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0,65, 0,76</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Sul</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1,06</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0,96, 1,17</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0,2</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Centro-Oeste</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0,86</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0,78, 0,94</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Cor ou raça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Branca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Preta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1,18</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1,05, 1,32</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0,006</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Amarela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0,92</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0,67, 1,26</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0,6</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Parda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1,09</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1,01, 1,17</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0,022</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Indígena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0,89</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0,59, 1,35</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0,6</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Nível de instrução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Superior completo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Sem instrução e fundamental incompleto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1,47</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1,32, 1,65</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Fundamental completo e médio incompleto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1,27</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1,12, 1,44</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Médio completo e superior incompleto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1,19</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1,06, 1,34</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0,003</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Condição na força de trabalho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Na força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tcBorders>
              <w:bottom w:val="single" w:sz="4" w:space="0" w:color="auto"/>
            </w:tcBorders>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Fora da força</w:t>
            </w:r>
          </w:p>
        </w:tc>
        <w:tc>
          <w:tcPr>
            <w:tcW w:w="1816" w:type="dxa"/>
            <w:tcBorders>
              <w:bottom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1,19</w:t>
            </w:r>
          </w:p>
        </w:tc>
        <w:tc>
          <w:tcPr>
            <w:tcW w:w="1980" w:type="dxa"/>
            <w:tcBorders>
              <w:bottom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1,10, 1,28</w:t>
            </w:r>
          </w:p>
        </w:tc>
        <w:tc>
          <w:tcPr>
            <w:tcW w:w="1636" w:type="dxa"/>
            <w:tcBorders>
              <w:bottom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bl>
    <w:p w:rsidR="00E656AC" w:rsidRPr="006E2024" w:rsidRDefault="00E656AC" w:rsidP="00E656AC">
      <w:pPr>
        <w:spacing w:before="0" w:after="0" w:line="240" w:lineRule="auto"/>
        <w:rPr>
          <w:rFonts w:ascii="Times New Roman" w:hAnsi="Times New Roman"/>
          <w:b/>
          <w:color w:val="000000"/>
          <w:lang w:val="pt-BR"/>
        </w:rPr>
      </w:pPr>
      <w:r w:rsidRPr="006E2024">
        <w:rPr>
          <w:rFonts w:ascii="Times New Roman" w:hAnsi="Times New Roman"/>
          <w:b/>
          <w:color w:val="000000"/>
          <w:lang w:val="pt-BR"/>
        </w:rPr>
        <w:t>Fonte: IBGE, Pesquisa Nacional de Saúde 2013</w:t>
      </w:r>
    </w:p>
    <w:p w:rsidR="00B601FA" w:rsidRPr="00944D78" w:rsidRDefault="00B601FA">
      <w:pPr>
        <w:rPr>
          <w:rFonts w:ascii="Times New Roman" w:hAnsi="Times New Roman"/>
          <w:color w:val="000000" w:themeColor="text1"/>
          <w:lang w:val="pt-BR"/>
        </w:rPr>
      </w:pPr>
    </w:p>
    <w:p w:rsidR="00B601FA" w:rsidRPr="00944D78" w:rsidRDefault="004E3D9B">
      <w:pPr>
        <w:rPr>
          <w:color w:val="000000" w:themeColor="text1"/>
          <w:lang w:val="pt-BR"/>
        </w:rPr>
      </w:pPr>
      <w:r w:rsidRPr="00944D78">
        <w:rPr>
          <w:rFonts w:ascii="Times New Roman" w:hAnsi="Times New Roman"/>
          <w:color w:val="000000" w:themeColor="text1"/>
          <w:lang w:val="pt-BR"/>
        </w:rPr>
        <w:lastRenderedPageBreak/>
        <w:t>Os coeficientes para a variável i</w:t>
      </w:r>
      <w:r w:rsidRPr="00944D78">
        <w:rPr>
          <w:rFonts w:ascii="Times New Roman" w:hAnsi="Times New Roman"/>
          <w:color w:val="000000" w:themeColor="text1"/>
          <w:lang w:val="pt-BR"/>
        </w:rPr>
        <w:t xml:space="preserve">dade indicam a RC por idade para os homens, e confirmam os resultados observados na Tabela 1, apontando que a chance de estar no grupo de risco por condições pré-existentes, entre os homens, é crescente com a idade. A chance de um homem com idade entre 45 </w:t>
      </w:r>
      <w:r w:rsidRPr="00944D78">
        <w:rPr>
          <w:rFonts w:ascii="Times New Roman" w:hAnsi="Times New Roman"/>
          <w:color w:val="000000" w:themeColor="text1"/>
          <w:lang w:val="pt-BR"/>
        </w:rPr>
        <w:t>e 49 anos estar no grupo de risco por condições pré-existentes é 4 vezes maior que a chance de um indivíduo com idade entre 18 e 24 anos. Quando o grupo de referência é comparado com o grupo de pessoas com 60 anos ou mais, vê-se que os homens idosos têm 12</w:t>
      </w:r>
      <w:r w:rsidRPr="00944D78">
        <w:rPr>
          <w:rFonts w:ascii="Times New Roman" w:hAnsi="Times New Roman"/>
          <w:color w:val="000000" w:themeColor="text1"/>
          <w:lang w:val="pt-BR"/>
        </w:rPr>
        <w:t>,5 vezes mais chance de estar no grupo de risco por condições pré-existentes. A RC para a variável sexo indica uma chance 25% menor para as mulheres na categoria de idade de referência (18-24). Contudo, como variáveis sexo e idade interagem, a relação entr</w:t>
      </w:r>
      <w:r w:rsidRPr="00944D78">
        <w:rPr>
          <w:rFonts w:ascii="Times New Roman" w:hAnsi="Times New Roman"/>
          <w:color w:val="000000" w:themeColor="text1"/>
          <w:lang w:val="pt-BR"/>
        </w:rPr>
        <w:t xml:space="preserve">e as chances por sexo dependem da idade. O exponencial dos coeficientes do termo de interação grupos de idade </w:t>
      </w:r>
      <w:r w:rsidRPr="00944D78">
        <w:rPr>
          <w:rFonts w:ascii="Times New Roman" w:hAnsi="Times New Roman"/>
          <w:i/>
          <w:color w:val="000000" w:themeColor="text1"/>
          <w:lang w:val="pt-BR"/>
        </w:rPr>
        <w:t>versus</w:t>
      </w:r>
      <w:r w:rsidRPr="00944D78">
        <w:rPr>
          <w:rFonts w:ascii="Times New Roman" w:hAnsi="Times New Roman"/>
          <w:color w:val="000000" w:themeColor="text1"/>
          <w:lang w:val="pt-BR"/>
        </w:rPr>
        <w:t xml:space="preserve"> sexo medem a razão entre as Razões de Chances de mulheres e homens para cada grupo de idade, indicando que a RC é maior para as mulheres de</w:t>
      </w:r>
      <w:r w:rsidRPr="00944D78">
        <w:rPr>
          <w:rFonts w:ascii="Times New Roman" w:hAnsi="Times New Roman"/>
          <w:color w:val="000000" w:themeColor="text1"/>
          <w:lang w:val="pt-BR"/>
        </w:rPr>
        <w:t xml:space="preserve"> 45-49 anos e menor para o grupo 25-29 em relação à RC destes mesmos grupos etários para os homens.</w:t>
      </w:r>
    </w:p>
    <w:p w:rsidR="00B601FA" w:rsidRPr="00944D78" w:rsidRDefault="004E3D9B">
      <w:pPr>
        <w:rPr>
          <w:color w:val="000000" w:themeColor="text1"/>
          <w:lang w:val="pt-BR"/>
        </w:rPr>
      </w:pPr>
      <w:r w:rsidRPr="00944D78">
        <w:rPr>
          <w:rFonts w:ascii="Times New Roman" w:hAnsi="Times New Roman"/>
          <w:color w:val="000000" w:themeColor="text1"/>
          <w:lang w:val="pt-BR"/>
        </w:rPr>
        <w:t>Em comparação com a Região Sudeste, moradores da Região Sul têm chance ligeiramente maior de pertencer ao grupo de risco por condições pré-existentes – 1,06</w:t>
      </w:r>
      <w:r w:rsidRPr="00944D78">
        <w:rPr>
          <w:rFonts w:ascii="Times New Roman" w:hAnsi="Times New Roman"/>
          <w:color w:val="000000" w:themeColor="text1"/>
          <w:lang w:val="pt-BR"/>
        </w:rPr>
        <w:t>[</w:t>
      </w:r>
      <w:r w:rsidRPr="00944D78">
        <w:rPr>
          <w:rFonts w:ascii="Times New Roman" w:hAnsi="Times New Roman"/>
          <w:color w:val="000000" w:themeColor="text1"/>
          <w:lang w:val="pt-BR" w:eastAsia="en-US"/>
        </w:rPr>
        <w:t>0,96; 1,17] – enquanto nas Regiões Centro-Oeste, Nordeste e Norte essas RC são menores,  0,86[0,78; 0,94], 0,70[0,65; 0,76] e 0,55[0,50; 0,61], respectivamente.</w:t>
      </w:r>
    </w:p>
    <w:p w:rsidR="00B601FA" w:rsidRPr="00944D78" w:rsidRDefault="004E3D9B">
      <w:pPr>
        <w:rPr>
          <w:rFonts w:ascii="Times New Roman" w:hAnsi="Times New Roman"/>
          <w:color w:val="000000" w:themeColor="text1"/>
          <w:lang w:val="pt-BR" w:eastAsia="en-US"/>
        </w:rPr>
      </w:pPr>
      <w:r w:rsidRPr="00944D78">
        <w:rPr>
          <w:rFonts w:ascii="Times New Roman" w:hAnsi="Times New Roman"/>
          <w:color w:val="000000" w:themeColor="text1"/>
          <w:lang w:val="pt-BR" w:eastAsia="en-US"/>
        </w:rPr>
        <w:t>Em relação ao grupos de cor ou raça, pretos e pardos têm mais chance de estarem no grupo de ri</w:t>
      </w:r>
      <w:r w:rsidRPr="00944D78">
        <w:rPr>
          <w:rFonts w:ascii="Times New Roman" w:hAnsi="Times New Roman"/>
          <w:color w:val="000000" w:themeColor="text1"/>
          <w:lang w:val="pt-BR" w:eastAsia="en-US"/>
        </w:rPr>
        <w:t>sco por condições pré-existentes que brancos, com RC de 1,18[1,05; 1,32] e 1,09[1,01; 1,17], respectivamente. A pouca representatividade na amostra da pesquisa, resultando em altos intervalos de confiança, impossibilita a inferência para os demais grupos d</w:t>
      </w:r>
      <w:r w:rsidRPr="00944D78">
        <w:rPr>
          <w:rFonts w:ascii="Times New Roman" w:hAnsi="Times New Roman"/>
          <w:color w:val="000000" w:themeColor="text1"/>
          <w:lang w:val="pt-BR" w:eastAsia="en-US"/>
        </w:rPr>
        <w:t>e cor ou raça.</w:t>
      </w:r>
    </w:p>
    <w:p w:rsidR="00B601FA" w:rsidRPr="00944D78" w:rsidRDefault="004E3D9B">
      <w:pPr>
        <w:rPr>
          <w:rFonts w:ascii="Times New Roman" w:hAnsi="Times New Roman"/>
          <w:color w:val="000000" w:themeColor="text1"/>
          <w:lang w:val="pt-BR" w:eastAsia="en-US"/>
        </w:rPr>
      </w:pPr>
      <w:r w:rsidRPr="00944D78">
        <w:rPr>
          <w:rFonts w:ascii="Times New Roman" w:hAnsi="Times New Roman"/>
          <w:color w:val="000000" w:themeColor="text1"/>
          <w:lang w:val="pt-BR" w:eastAsia="en-US"/>
        </w:rPr>
        <w:t xml:space="preserve">As Razões de Chance para a variável nível de instrução indicam que quanto maior o nível de instrução menor é a chance de estar no grupo de risco por condições pré-existentes. Indivíduos sem instrução ou com ensino fundamental incompleto têm </w:t>
      </w:r>
      <w:r w:rsidRPr="00944D78">
        <w:rPr>
          <w:rFonts w:ascii="Times New Roman" w:hAnsi="Times New Roman"/>
          <w:color w:val="000000" w:themeColor="text1"/>
          <w:lang w:val="pt-BR" w:eastAsia="en-US"/>
        </w:rPr>
        <w:t>47%[32%, 65%] mais chance de estar no grupo de risco por condições pré-existentes do que os com nível superior completo.</w:t>
      </w:r>
    </w:p>
    <w:p w:rsidR="00B601FA" w:rsidRPr="00944D78" w:rsidRDefault="004E3D9B">
      <w:pPr>
        <w:rPr>
          <w:rFonts w:ascii="Times New Roman" w:hAnsi="Times New Roman"/>
          <w:color w:val="000000" w:themeColor="text1"/>
          <w:lang w:val="pt-BR" w:eastAsia="en-US"/>
        </w:rPr>
      </w:pPr>
      <w:r w:rsidRPr="00944D78">
        <w:rPr>
          <w:rFonts w:ascii="Times New Roman" w:hAnsi="Times New Roman"/>
          <w:color w:val="000000" w:themeColor="text1"/>
          <w:lang w:val="pt-BR" w:eastAsia="en-US"/>
        </w:rPr>
        <w:t>Indivíduos fora da força de trabalho (pessoas que não estavam ocupadas nem desocupadas) tinham uma chance de pertencer ao grupo de risc</w:t>
      </w:r>
      <w:r w:rsidRPr="00944D78">
        <w:rPr>
          <w:rFonts w:ascii="Times New Roman" w:hAnsi="Times New Roman"/>
          <w:color w:val="000000" w:themeColor="text1"/>
          <w:lang w:val="pt-BR" w:eastAsia="en-US"/>
        </w:rPr>
        <w:t>o por condições pré-existentes 19% maior que aqueles na força de trabalho (pessoas ocupadas e as pessoas desocupadas).</w:t>
      </w:r>
    </w:p>
    <w:p w:rsidR="00B601FA" w:rsidRPr="00944D78" w:rsidRDefault="004E3D9B">
      <w:pPr>
        <w:rPr>
          <w:color w:val="000000" w:themeColor="text1"/>
          <w:lang w:val="pt-BR"/>
        </w:rPr>
      </w:pPr>
      <w:r w:rsidRPr="00944D78">
        <w:rPr>
          <w:rFonts w:ascii="Times New Roman" w:hAnsi="Times New Roman"/>
          <w:color w:val="000000" w:themeColor="text1"/>
          <w:lang w:val="pt-BR"/>
        </w:rPr>
        <w:t>A partir da imputação do indicador de pertencimento ou não ao grupo de risco por condições pré-existentes para todos os moradores da pesq</w:t>
      </w:r>
      <w:r w:rsidRPr="00944D78">
        <w:rPr>
          <w:rFonts w:ascii="Times New Roman" w:hAnsi="Times New Roman"/>
          <w:color w:val="000000" w:themeColor="text1"/>
          <w:lang w:val="pt-BR"/>
        </w:rPr>
        <w:t>uisa com idade entre 18 e 59 anos, foi possível ter estimativas relacionadas à composição dos domicílios e a presença de pessoas no grupo de risco por condições pré-existentes. Conforme descrito na seção anterior, foram considerados como pertencentes ao gr</w:t>
      </w:r>
      <w:r w:rsidRPr="00944D78">
        <w:rPr>
          <w:rFonts w:ascii="Times New Roman" w:hAnsi="Times New Roman"/>
          <w:color w:val="000000" w:themeColor="text1"/>
          <w:lang w:val="pt-BR"/>
        </w:rPr>
        <w:t xml:space="preserve">upo de risco os indivíduos com pelo menos uma </w:t>
      </w:r>
      <w:proofErr w:type="spellStart"/>
      <w:r w:rsidRPr="00944D78">
        <w:rPr>
          <w:rFonts w:ascii="Times New Roman" w:hAnsi="Times New Roman"/>
          <w:color w:val="000000" w:themeColor="text1"/>
          <w:lang w:val="pt-BR"/>
        </w:rPr>
        <w:t>comorbidade</w:t>
      </w:r>
      <w:proofErr w:type="spellEnd"/>
      <w:r w:rsidRPr="00944D78">
        <w:rPr>
          <w:rFonts w:ascii="Times New Roman" w:hAnsi="Times New Roman"/>
          <w:color w:val="000000" w:themeColor="text1"/>
          <w:lang w:val="pt-BR"/>
        </w:rPr>
        <w:t xml:space="preserve"> ou com mais de 60 anos.</w:t>
      </w:r>
    </w:p>
    <w:p w:rsidR="00B601FA" w:rsidRDefault="004E3D9B">
      <w:pPr>
        <w:rPr>
          <w:rFonts w:ascii="Times New Roman" w:hAnsi="Times New Roman"/>
          <w:color w:val="000000" w:themeColor="text1"/>
          <w:lang w:val="pt-BR"/>
        </w:rPr>
      </w:pPr>
      <w:r w:rsidRPr="00944D78">
        <w:rPr>
          <w:rFonts w:ascii="Times New Roman" w:hAnsi="Times New Roman"/>
          <w:color w:val="000000" w:themeColor="text1"/>
          <w:lang w:val="pt-BR"/>
        </w:rPr>
        <w:lastRenderedPageBreak/>
        <w:t>Segundo os resultados da PNS, 13,2% da população tinha 60 anos ou mais, e 30,3% dos domicílios tinham pelo menos um morador com 60 anos ou mais. Considerando como grupo de ri</w:t>
      </w:r>
      <w:r w:rsidRPr="00944D78">
        <w:rPr>
          <w:rFonts w:ascii="Times New Roman" w:hAnsi="Times New Roman"/>
          <w:color w:val="000000" w:themeColor="text1"/>
          <w:lang w:val="pt-BR"/>
        </w:rPr>
        <w:t xml:space="preserve">sco tanto a presença de idosos como de pessoas com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associadas à COVID-19, o Brasil tinha, em 2013, 68,5% [67,8%; 69,1%] de pessoas vivendo em domicílios com pelo menos uma pessoa no grupo risco. O Gráfico 1 apresenta este percentual por Unidad</w:t>
      </w:r>
      <w:r w:rsidRPr="00944D78">
        <w:rPr>
          <w:rFonts w:ascii="Times New Roman" w:hAnsi="Times New Roman"/>
          <w:color w:val="000000" w:themeColor="text1"/>
          <w:lang w:val="pt-BR"/>
        </w:rPr>
        <w:t>e da Federação, indicando importantes diferencias regionais. Tais valores situam-se entre 50% e 60% para as Unidades da Federação da Região Norte, chegando a mais de 70% em Minas Gerais, Espírito Santo, Rio de Janeiro, São Paulo, Paraná e Rio Grande do Sul</w:t>
      </w:r>
      <w:r w:rsidRPr="00944D78">
        <w:rPr>
          <w:rFonts w:ascii="Times New Roman" w:hAnsi="Times New Roman"/>
          <w:color w:val="000000" w:themeColor="text1"/>
          <w:lang w:val="pt-BR"/>
        </w:rPr>
        <w:t>.</w:t>
      </w:r>
    </w:p>
    <w:p w:rsidR="00E656AC" w:rsidRPr="00E656AC" w:rsidRDefault="00E656AC">
      <w:pPr>
        <w:rPr>
          <w:rFonts w:ascii="Times New Roman" w:hAnsi="Times New Roman"/>
          <w:b/>
          <w:lang w:val="pt-BR"/>
        </w:rPr>
      </w:pPr>
      <w:r>
        <w:rPr>
          <w:rFonts w:ascii="Times New Roman" w:hAnsi="Times New Roman"/>
          <w:b/>
          <w:lang w:val="pt-BR"/>
        </w:rPr>
        <w:t>Gráfico</w:t>
      </w:r>
      <w:r w:rsidRPr="002F3B1B">
        <w:rPr>
          <w:rFonts w:ascii="Times New Roman" w:hAnsi="Times New Roman"/>
          <w:b/>
          <w:lang w:val="pt-BR"/>
        </w:rPr>
        <w:t xml:space="preserve"> 1 – </w:t>
      </w:r>
      <w:r w:rsidRPr="00301BE2">
        <w:rPr>
          <w:rFonts w:ascii="Times New Roman" w:hAnsi="Times New Roman"/>
          <w:b/>
          <w:lang w:val="pt-BR"/>
        </w:rPr>
        <w:t>Prevalência</w:t>
      </w:r>
      <w:r>
        <w:rPr>
          <w:rFonts w:ascii="Times New Roman" w:hAnsi="Times New Roman"/>
          <w:b/>
          <w:lang w:val="pt-BR"/>
        </w:rPr>
        <w:t xml:space="preserve"> </w:t>
      </w:r>
      <w:r w:rsidRPr="002F3B1B">
        <w:rPr>
          <w:rFonts w:ascii="Times New Roman" w:hAnsi="Times New Roman"/>
          <w:b/>
          <w:lang w:val="pt-BR"/>
        </w:rPr>
        <w:t>(e intervalos de confiança)</w:t>
      </w:r>
      <w:r w:rsidRPr="00301BE2">
        <w:rPr>
          <w:rFonts w:ascii="Times New Roman" w:hAnsi="Times New Roman"/>
          <w:b/>
          <w:lang w:val="pt-BR"/>
        </w:rPr>
        <w:t xml:space="preserve"> de pelo menos uma condição médica pré-existente associada à COVID-19 (%)</w:t>
      </w:r>
      <w:r>
        <w:rPr>
          <w:rFonts w:ascii="Times New Roman" w:hAnsi="Times New Roman"/>
          <w:b/>
          <w:lang w:val="pt-BR"/>
        </w:rPr>
        <w:t xml:space="preserve"> </w:t>
      </w:r>
      <w:r w:rsidRPr="002F3B1B">
        <w:rPr>
          <w:rFonts w:ascii="Times New Roman" w:hAnsi="Times New Roman"/>
          <w:b/>
          <w:lang w:val="pt-BR"/>
        </w:rPr>
        <w:t>por grupos de idade</w:t>
      </w:r>
      <w:r>
        <w:rPr>
          <w:rFonts w:ascii="Times New Roman" w:hAnsi="Times New Roman"/>
          <w:b/>
          <w:lang w:val="pt-BR"/>
        </w:rPr>
        <w:t xml:space="preserve"> – Brasil, 2013</w:t>
      </w:r>
    </w:p>
    <w:p w:rsidR="00E656AC" w:rsidRPr="00944D78" w:rsidRDefault="00E656AC">
      <w:pPr>
        <w:rPr>
          <w:rFonts w:ascii="Times New Roman" w:hAnsi="Times New Roman"/>
          <w:color w:val="000000" w:themeColor="text1"/>
          <w:lang w:val="pt-BR"/>
        </w:rPr>
      </w:pPr>
      <w:r>
        <w:rPr>
          <w:rFonts w:ascii="Times New Roman" w:hAnsi="Times New Roman"/>
          <w:noProof/>
          <w:color w:val="000000" w:themeColor="text1"/>
          <w:lang w:val="pt-BR"/>
        </w:rPr>
        <w:drawing>
          <wp:inline distT="0" distB="0" distL="0" distR="0">
            <wp:extent cx="68580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o1.eps"/>
                    <pic:cNvPicPr/>
                  </pic:nvPicPr>
                  <pic:blipFill>
                    <a:blip r:embed="rId8">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r w:rsidRPr="006E2024">
        <w:rPr>
          <w:rFonts w:ascii="Times New Roman" w:hAnsi="Times New Roman"/>
          <w:b/>
          <w:color w:val="000000"/>
          <w:lang w:val="pt-BR"/>
        </w:rPr>
        <w:t>Fonte: IBGE, Pesquisa Nacional de Saúde 2013</w:t>
      </w:r>
    </w:p>
    <w:p w:rsidR="00B601FA" w:rsidRDefault="004E3D9B">
      <w:pPr>
        <w:rPr>
          <w:rFonts w:ascii="Times New Roman" w:hAnsi="Times New Roman"/>
          <w:color w:val="000000" w:themeColor="text1"/>
          <w:lang w:val="pt-BR"/>
        </w:rPr>
      </w:pPr>
      <w:r w:rsidRPr="00944D78">
        <w:rPr>
          <w:rFonts w:ascii="Times New Roman" w:hAnsi="Times New Roman"/>
          <w:color w:val="000000" w:themeColor="text1"/>
          <w:lang w:val="pt-BR"/>
        </w:rPr>
        <w:t>O Gráfico 2 mostra a proporção de pessoas vivendo com pelo menos um morador no grupo de risco para COVID-19 por idade, bem como os intervalos de confiança estimados. Esse percentual é maior ou igual a 50% para todas as idades, indicando que o número de p</w:t>
      </w:r>
      <w:r w:rsidRPr="00944D78">
        <w:rPr>
          <w:rFonts w:ascii="Times New Roman" w:hAnsi="Times New Roman"/>
          <w:color w:val="000000" w:themeColor="text1"/>
          <w:lang w:val="pt-BR"/>
        </w:rPr>
        <w:t>essoas vivendo em domicílios sem pessoas no grupo de risco é menor que o número de moradores em domicílios com pessoas no grupo de risco para todas as idades. Essa proporção é crescente com a idade, particularmente a partir dos 35 anos, sendo 100%, por def</w:t>
      </w:r>
      <w:r w:rsidRPr="00944D78">
        <w:rPr>
          <w:rFonts w:ascii="Times New Roman" w:hAnsi="Times New Roman"/>
          <w:color w:val="000000" w:themeColor="text1"/>
          <w:lang w:val="pt-BR"/>
        </w:rPr>
        <w:t xml:space="preserve">inição, a partir dos 60 anos. O número de pessoas nos dois grupos em análise é mais próximo para crianças com até 5 anos e adultos com idade </w:t>
      </w:r>
      <w:r w:rsidRPr="00944D78">
        <w:rPr>
          <w:rFonts w:ascii="Times New Roman" w:hAnsi="Times New Roman"/>
          <w:color w:val="000000" w:themeColor="text1"/>
          <w:lang w:val="pt-BR"/>
        </w:rPr>
        <w:lastRenderedPageBreak/>
        <w:t>entre 25 e 35 anos. A proporção de indivíduos convivendo com pelo menos uma pessoa no grupo de risco é de mais de 6</w:t>
      </w:r>
      <w:r w:rsidRPr="00944D78">
        <w:rPr>
          <w:rFonts w:ascii="Times New Roman" w:hAnsi="Times New Roman"/>
          <w:color w:val="000000" w:themeColor="text1"/>
          <w:lang w:val="pt-BR"/>
        </w:rPr>
        <w:t>0% para as idades entre 10 e 25 anos, atingindo quase 70% por volta dos 20 anos idade.</w:t>
      </w:r>
    </w:p>
    <w:p w:rsidR="00E656AC" w:rsidRDefault="00E656AC">
      <w:pPr>
        <w:rPr>
          <w:rFonts w:ascii="Times New Roman" w:hAnsi="Times New Roman"/>
          <w:b/>
          <w:lang w:val="pt-BR"/>
        </w:rPr>
      </w:pPr>
      <w:r>
        <w:rPr>
          <w:rFonts w:ascii="Times New Roman" w:hAnsi="Times New Roman"/>
          <w:b/>
          <w:lang w:val="pt-BR"/>
        </w:rPr>
        <w:t>Gráfico 2</w:t>
      </w:r>
      <w:r w:rsidRPr="002F3B1B">
        <w:rPr>
          <w:rFonts w:ascii="Times New Roman" w:hAnsi="Times New Roman"/>
          <w:b/>
          <w:lang w:val="pt-BR"/>
        </w:rPr>
        <w:t xml:space="preserve"> – </w:t>
      </w:r>
      <w:r>
        <w:rPr>
          <w:rFonts w:ascii="Times New Roman" w:hAnsi="Times New Roman"/>
          <w:b/>
          <w:lang w:val="pt-BR"/>
        </w:rPr>
        <w:t xml:space="preserve">Proporção </w:t>
      </w:r>
      <w:r w:rsidRPr="002F3B1B">
        <w:rPr>
          <w:rFonts w:ascii="Times New Roman" w:hAnsi="Times New Roman"/>
          <w:b/>
          <w:lang w:val="pt-BR"/>
        </w:rPr>
        <w:t>(e intervalos de confiança)</w:t>
      </w:r>
      <w:r>
        <w:rPr>
          <w:rFonts w:ascii="Times New Roman" w:hAnsi="Times New Roman"/>
          <w:b/>
          <w:lang w:val="pt-BR"/>
        </w:rPr>
        <w:t xml:space="preserve"> de pessoas vivendo com pelo menos um morador no grupo de </w:t>
      </w:r>
      <w:r w:rsidRPr="00AD44C3">
        <w:rPr>
          <w:rFonts w:ascii="Times New Roman" w:hAnsi="Times New Roman"/>
          <w:b/>
          <w:lang w:val="pt-BR"/>
        </w:rPr>
        <w:t xml:space="preserve">risco </w:t>
      </w:r>
      <w:r>
        <w:rPr>
          <w:rFonts w:ascii="Times New Roman" w:hAnsi="Times New Roman"/>
          <w:b/>
          <w:lang w:val="pt-BR"/>
        </w:rPr>
        <w:t xml:space="preserve">para COVID-19 por idade </w:t>
      </w:r>
      <w:r w:rsidRPr="00AD44C3">
        <w:rPr>
          <w:rFonts w:ascii="Times New Roman" w:hAnsi="Times New Roman"/>
          <w:b/>
          <w:lang w:val="pt-BR"/>
        </w:rPr>
        <w:t>– Brasil, 2013</w:t>
      </w:r>
    </w:p>
    <w:p w:rsidR="00E656AC" w:rsidRPr="00E656AC" w:rsidRDefault="00E656AC">
      <w:pPr>
        <w:rPr>
          <w:rFonts w:ascii="Times New Roman" w:hAnsi="Times New Roman"/>
          <w:b/>
          <w:lang w:val="pt-BR"/>
        </w:rPr>
      </w:pPr>
      <w:r>
        <w:rPr>
          <w:rFonts w:ascii="Times New Roman" w:hAnsi="Times New Roman"/>
          <w:noProof/>
          <w:color w:val="000000" w:themeColor="text1"/>
          <w:lang w:val="pt-BR"/>
        </w:rPr>
        <w:drawing>
          <wp:inline distT="0" distB="0" distL="0" distR="0">
            <wp:extent cx="6858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o2.eps"/>
                    <pic:cNvPicPr/>
                  </pic:nvPicPr>
                  <pic:blipFill>
                    <a:blip r:embed="rId9">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r w:rsidRPr="006E2024">
        <w:rPr>
          <w:rFonts w:ascii="Times New Roman" w:hAnsi="Times New Roman"/>
          <w:b/>
          <w:color w:val="000000"/>
          <w:lang w:val="pt-BR"/>
        </w:rPr>
        <w:t>Fonte: IBGE, Pesquisa Nacional de Saúde 2013</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Discussão</w:t>
      </w:r>
    </w:p>
    <w:p w:rsidR="00B601FA" w:rsidRPr="00944D78" w:rsidRDefault="004E3D9B">
      <w:pPr>
        <w:rPr>
          <w:color w:val="000000" w:themeColor="text1"/>
          <w:lang w:val="pt-BR"/>
        </w:rPr>
      </w:pPr>
      <w:r w:rsidRPr="00944D78">
        <w:rPr>
          <w:rFonts w:ascii="Times New Roman" w:hAnsi="Times New Roman"/>
          <w:color w:val="000000" w:themeColor="text1"/>
          <w:lang w:val="pt-BR"/>
        </w:rPr>
        <w:t>Os resultados deste trabalho mostram que existem importantes diferenciais demográficos e socioeconômicos associados à chance de pertencimento ao grupo de risco</w:t>
      </w:r>
      <w:r w:rsidRPr="00944D78">
        <w:rPr>
          <w:rFonts w:ascii="Times New Roman" w:hAnsi="Times New Roman"/>
          <w:color w:val="000000" w:themeColor="text1"/>
          <w:lang w:val="pt-BR"/>
        </w:rPr>
        <w:t xml:space="preserve"> para COVID-19 no Brasil. A idade é o principal fator de risco para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associadas à COVID-19, mas variáveis </w:t>
      </w:r>
      <w:proofErr w:type="spellStart"/>
      <w:r w:rsidRPr="00944D78">
        <w:rPr>
          <w:rFonts w:ascii="Times New Roman" w:hAnsi="Times New Roman"/>
          <w:color w:val="000000" w:themeColor="text1"/>
          <w:lang w:val="pt-BR"/>
        </w:rPr>
        <w:t>sociodemográficas</w:t>
      </w:r>
      <w:proofErr w:type="spellEnd"/>
      <w:r w:rsidRPr="00944D78">
        <w:rPr>
          <w:rFonts w:ascii="Times New Roman" w:hAnsi="Times New Roman"/>
          <w:color w:val="000000" w:themeColor="text1"/>
          <w:lang w:val="pt-BR"/>
        </w:rPr>
        <w:t xml:space="preserve"> têm também importantes impactos, em geral indicando maior risco para pessoas em categorias mais vulneráveis, como menos </w:t>
      </w:r>
      <w:r w:rsidRPr="00944D78">
        <w:rPr>
          <w:rFonts w:ascii="Times New Roman" w:hAnsi="Times New Roman"/>
          <w:color w:val="000000" w:themeColor="text1"/>
          <w:lang w:val="pt-BR"/>
        </w:rPr>
        <w:t>escolarizados e pretos e pardos. Tais resultados são consistentes com os de outros trabalhos que apontam para diferenciais na prevalência de hipertensão arterial</w:t>
      </w:r>
      <w:r w:rsidRPr="00944D78">
        <w:rPr>
          <w:rFonts w:ascii="Times New Roman" w:hAnsi="Times New Roman"/>
          <w:color w:val="000000" w:themeColor="text1"/>
          <w:vertAlign w:val="superscript"/>
          <w:lang w:val="pt-BR"/>
        </w:rPr>
        <w:t>21,22</w:t>
      </w:r>
      <w:r w:rsidRPr="00944D78">
        <w:rPr>
          <w:rFonts w:ascii="Times New Roman" w:hAnsi="Times New Roman"/>
          <w:color w:val="000000" w:themeColor="text1"/>
          <w:lang w:val="pt-BR"/>
        </w:rPr>
        <w:t xml:space="preserve">, diabetes </w:t>
      </w:r>
      <w:r w:rsidRPr="00944D78">
        <w:rPr>
          <w:rFonts w:ascii="Times New Roman" w:hAnsi="Times New Roman"/>
          <w:color w:val="000000" w:themeColor="text1"/>
          <w:vertAlign w:val="superscript"/>
          <w:lang w:val="pt-BR"/>
        </w:rPr>
        <w:t>23,24</w:t>
      </w:r>
      <w:r w:rsidRPr="00944D78">
        <w:rPr>
          <w:rFonts w:ascii="Times New Roman" w:hAnsi="Times New Roman"/>
          <w:color w:val="000000" w:themeColor="text1"/>
          <w:lang w:val="pt-BR"/>
        </w:rPr>
        <w:t>, doença renal crônica</w:t>
      </w:r>
      <w:r w:rsidRPr="00944D78">
        <w:rPr>
          <w:rFonts w:ascii="Times New Roman" w:hAnsi="Times New Roman"/>
          <w:color w:val="000000" w:themeColor="text1"/>
          <w:vertAlign w:val="superscript"/>
          <w:lang w:val="pt-BR"/>
        </w:rPr>
        <w:t>34</w:t>
      </w:r>
      <w:r w:rsidRPr="00944D78">
        <w:rPr>
          <w:rFonts w:ascii="Times New Roman" w:hAnsi="Times New Roman"/>
          <w:color w:val="000000" w:themeColor="text1"/>
          <w:lang w:val="pt-BR"/>
        </w:rPr>
        <w:t xml:space="preserve"> e asma</w:t>
      </w:r>
      <w:r w:rsidRPr="00944D78">
        <w:rPr>
          <w:rFonts w:ascii="Times New Roman" w:hAnsi="Times New Roman"/>
          <w:color w:val="000000" w:themeColor="text1"/>
          <w:vertAlign w:val="superscript"/>
          <w:lang w:val="pt-BR"/>
        </w:rPr>
        <w:t>35</w:t>
      </w:r>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A probabilidade de pertencimento ao gru</w:t>
      </w:r>
      <w:r w:rsidRPr="00944D78">
        <w:rPr>
          <w:rFonts w:ascii="Times New Roman" w:hAnsi="Times New Roman"/>
          <w:color w:val="000000" w:themeColor="text1"/>
          <w:lang w:val="pt-BR"/>
        </w:rPr>
        <w:t xml:space="preserve">po de risco por condições pré-existentes reflete as prevalências de cada uma dessas condições e sua associação com as variáveis explicativas analisadas. A prevalência de asma e diabetes </w:t>
      </w:r>
      <w:r w:rsidRPr="00944D78">
        <w:rPr>
          <w:rFonts w:ascii="Times New Roman" w:hAnsi="Times New Roman"/>
          <w:color w:val="000000" w:themeColor="text1"/>
          <w:lang w:val="pt-BR"/>
        </w:rPr>
        <w:lastRenderedPageBreak/>
        <w:t>é maior entre a população feminina, enquanto hipertensão arterial medi</w:t>
      </w:r>
      <w:r w:rsidRPr="00944D78">
        <w:rPr>
          <w:rFonts w:ascii="Times New Roman" w:hAnsi="Times New Roman"/>
          <w:color w:val="000000" w:themeColor="text1"/>
          <w:lang w:val="pt-BR"/>
        </w:rPr>
        <w:t>da por instrumento e uso de medicamento é ligeiramente superior entre os homens. A prevalência de hipertensão arterial é alta em todas as idades, se comparada com a prevalência das demais condições analisadas. Para os adultos jovens (de 18 a 29 anos), a pr</w:t>
      </w:r>
      <w:r w:rsidRPr="00944D78">
        <w:rPr>
          <w:rFonts w:ascii="Times New Roman" w:hAnsi="Times New Roman"/>
          <w:color w:val="000000" w:themeColor="text1"/>
          <w:lang w:val="pt-BR"/>
        </w:rPr>
        <w:t>evalência de asma tem importante participação na probabilidade de pertencimento ao grupo de risco por condições pré-existentes. Diabetes e doença do coração são mais prevalentes nos grupos populacionais mais velhos. Apesar dessa complexa interação, observa</w:t>
      </w:r>
      <w:r w:rsidRPr="00944D78">
        <w:rPr>
          <w:rFonts w:ascii="Times New Roman" w:hAnsi="Times New Roman"/>
          <w:color w:val="000000" w:themeColor="text1"/>
          <w:lang w:val="pt-BR"/>
        </w:rPr>
        <w:t>-se que a caracterização do grupo de risco por condições pré-existentes é, em grande medida, dada pela hipertensão arterial, que é a condição com maior prevalência.</w:t>
      </w:r>
    </w:p>
    <w:p w:rsidR="00B601FA" w:rsidRPr="00944D78" w:rsidRDefault="004E3D9B">
      <w:pPr>
        <w:rPr>
          <w:color w:val="000000" w:themeColor="text1"/>
          <w:lang w:val="pt-BR"/>
        </w:rPr>
      </w:pPr>
      <w:r w:rsidRPr="00944D78">
        <w:rPr>
          <w:rFonts w:ascii="Times New Roman" w:hAnsi="Times New Roman"/>
          <w:color w:val="000000" w:themeColor="text1"/>
          <w:lang w:val="pt-BR"/>
        </w:rPr>
        <w:t>Estudos têm reportado maior incidência dos fatores de risco para COVID-19 entre os menos es</w:t>
      </w:r>
      <w:r w:rsidRPr="00944D78">
        <w:rPr>
          <w:rFonts w:ascii="Times New Roman" w:hAnsi="Times New Roman"/>
          <w:color w:val="000000" w:themeColor="text1"/>
          <w:lang w:val="pt-BR"/>
        </w:rPr>
        <w:t>colarizados</w:t>
      </w:r>
      <w:r w:rsidRPr="00944D78">
        <w:rPr>
          <w:rFonts w:ascii="Times New Roman" w:hAnsi="Times New Roman"/>
          <w:color w:val="000000" w:themeColor="text1"/>
          <w:vertAlign w:val="superscript"/>
          <w:lang w:val="pt-BR"/>
        </w:rPr>
        <w:t>19,20</w:t>
      </w:r>
      <w:r w:rsidRPr="00944D78">
        <w:rPr>
          <w:rFonts w:ascii="Times New Roman" w:hAnsi="Times New Roman"/>
          <w:color w:val="000000" w:themeColor="text1"/>
          <w:lang w:val="pt-BR"/>
        </w:rPr>
        <w:t>. Este é um resultado esperado, uma vez que as populações menos escolarizadas estão concentradas nas idades mais avançadas, que são os grupos etários com maiores prevalências para as condições em questão. Os resultados deste trabalho mostra</w:t>
      </w:r>
      <w:r w:rsidRPr="00944D78">
        <w:rPr>
          <w:rFonts w:ascii="Times New Roman" w:hAnsi="Times New Roman"/>
          <w:color w:val="000000" w:themeColor="text1"/>
          <w:lang w:val="pt-BR"/>
        </w:rPr>
        <w:t xml:space="preserve">m, contudo, que mesmo controlando por idade, sexo, e outras variáveis, a probabilidade de pertencimento ao grupo de risco por condições pré-existentes para COVID -19 é maior entre os grupos com mais baixos níveis educacionais. Estima-se que pessoas com as </w:t>
      </w:r>
      <w:r w:rsidRPr="00944D78">
        <w:rPr>
          <w:rFonts w:ascii="Times New Roman" w:hAnsi="Times New Roman"/>
          <w:color w:val="000000" w:themeColor="text1"/>
          <w:lang w:val="pt-BR"/>
        </w:rPr>
        <w:t>mesmas características, mas com o nível de instrução mais baixo, tenham, em média, 47% mais de chance de pertencer ao grupo de risco para COVID-19 do que aqueles com nível superior. A maior probabilidade de pessoas com menor escolaridade estarem no grupo d</w:t>
      </w:r>
      <w:r w:rsidRPr="00944D78">
        <w:rPr>
          <w:rFonts w:ascii="Times New Roman" w:hAnsi="Times New Roman"/>
          <w:color w:val="000000" w:themeColor="text1"/>
          <w:lang w:val="pt-BR"/>
        </w:rPr>
        <w:t>e risco para COVID-19 é consistente, ainda, com resultados de outros trabalhos que indicam uma maior prevalência de hipertensão arterial</w:t>
      </w:r>
      <w:r w:rsidRPr="00944D78">
        <w:rPr>
          <w:rFonts w:ascii="Times New Roman" w:hAnsi="Times New Roman"/>
          <w:color w:val="000000" w:themeColor="text1"/>
          <w:vertAlign w:val="superscript"/>
          <w:lang w:val="pt-BR"/>
        </w:rPr>
        <w:t>21,22</w:t>
      </w:r>
      <w:r w:rsidRPr="00944D78">
        <w:rPr>
          <w:rFonts w:ascii="Times New Roman" w:hAnsi="Times New Roman"/>
          <w:color w:val="000000" w:themeColor="text1"/>
          <w:lang w:val="pt-BR"/>
        </w:rPr>
        <w:t xml:space="preserve">, diabetes </w:t>
      </w:r>
      <w:r w:rsidRPr="00944D78">
        <w:rPr>
          <w:rFonts w:ascii="Times New Roman" w:hAnsi="Times New Roman"/>
          <w:color w:val="000000" w:themeColor="text1"/>
          <w:vertAlign w:val="superscript"/>
          <w:lang w:val="pt-BR"/>
        </w:rPr>
        <w:t>23,24</w:t>
      </w:r>
      <w:r w:rsidRPr="00944D78">
        <w:rPr>
          <w:rFonts w:ascii="Times New Roman" w:hAnsi="Times New Roman"/>
          <w:color w:val="000000" w:themeColor="text1"/>
          <w:lang w:val="pt-BR"/>
        </w:rPr>
        <w:t xml:space="preserve"> e doença renal crônica</w:t>
      </w:r>
      <w:r w:rsidRPr="00944D78">
        <w:rPr>
          <w:rFonts w:ascii="Times New Roman" w:hAnsi="Times New Roman"/>
          <w:color w:val="000000" w:themeColor="text1"/>
          <w:vertAlign w:val="superscript"/>
          <w:lang w:val="pt-BR"/>
        </w:rPr>
        <w:t>34</w:t>
      </w:r>
      <w:r w:rsidRPr="00944D78">
        <w:rPr>
          <w:rFonts w:ascii="Times New Roman" w:hAnsi="Times New Roman"/>
          <w:color w:val="000000" w:themeColor="text1"/>
          <w:lang w:val="pt-BR"/>
        </w:rPr>
        <w:t xml:space="preserve"> neste grupo populacional.</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prevalência de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em adultos </w:t>
      </w:r>
      <w:r w:rsidRPr="00944D78">
        <w:rPr>
          <w:rFonts w:ascii="Times New Roman" w:hAnsi="Times New Roman"/>
          <w:color w:val="000000" w:themeColor="text1"/>
          <w:lang w:val="pt-BR"/>
        </w:rPr>
        <w:t>maiores de 18 anos associadas à COVID-19 é semelhante entre brancos e pretos e ligeiramente menor entre os indivíduos que se declaram como pardo. Esse resultado é consistente com o encontrado em outros estudos utilizando a PNS que não encontraram diferença</w:t>
      </w:r>
      <w:r w:rsidRPr="00944D78">
        <w:rPr>
          <w:rFonts w:ascii="Times New Roman" w:hAnsi="Times New Roman"/>
          <w:color w:val="000000" w:themeColor="text1"/>
          <w:lang w:val="pt-BR"/>
        </w:rPr>
        <w:t xml:space="preserve"> significativa da variável cor ou raça na prevalência dos fatores de risco para COVID-19</w:t>
      </w:r>
      <w:r w:rsidRPr="00944D78">
        <w:rPr>
          <w:rFonts w:ascii="Times New Roman" w:hAnsi="Times New Roman"/>
          <w:color w:val="000000" w:themeColor="text1"/>
          <w:vertAlign w:val="superscript"/>
          <w:lang w:val="pt-BR"/>
        </w:rPr>
        <w:t>19</w:t>
      </w:r>
      <w:r w:rsidRPr="00944D78">
        <w:rPr>
          <w:rFonts w:ascii="Times New Roman" w:hAnsi="Times New Roman"/>
          <w:color w:val="000000" w:themeColor="text1"/>
          <w:lang w:val="pt-BR"/>
        </w:rPr>
        <w:t xml:space="preserve"> ou encontraram pouca diferença em relação à prevalência de diabetes</w:t>
      </w:r>
      <w:r w:rsidRPr="00944D78">
        <w:rPr>
          <w:rFonts w:ascii="Times New Roman" w:hAnsi="Times New Roman"/>
          <w:color w:val="000000" w:themeColor="text1"/>
          <w:vertAlign w:val="superscript"/>
          <w:lang w:val="pt-BR"/>
        </w:rPr>
        <w:t>23</w:t>
      </w:r>
      <w:r w:rsidRPr="00944D78">
        <w:rPr>
          <w:rFonts w:ascii="Times New Roman" w:hAnsi="Times New Roman"/>
          <w:color w:val="000000" w:themeColor="text1"/>
          <w:lang w:val="pt-BR"/>
        </w:rPr>
        <w:t xml:space="preserve"> e hipertensão arterial</w:t>
      </w:r>
      <w:r w:rsidRPr="00944D78">
        <w:rPr>
          <w:rFonts w:ascii="Times New Roman" w:hAnsi="Times New Roman"/>
          <w:color w:val="000000" w:themeColor="text1"/>
          <w:vertAlign w:val="superscript"/>
          <w:lang w:val="pt-BR"/>
        </w:rPr>
        <w:t>22</w:t>
      </w:r>
      <w:r w:rsidRPr="00944D78">
        <w:rPr>
          <w:rFonts w:ascii="Times New Roman" w:hAnsi="Times New Roman"/>
          <w:color w:val="000000" w:themeColor="text1"/>
          <w:lang w:val="pt-BR"/>
        </w:rPr>
        <w:t xml:space="preserve">. Contudo, uma vez controlado por outras variáveis, a cor ou raça está </w:t>
      </w:r>
      <w:r w:rsidRPr="00944D78">
        <w:rPr>
          <w:rFonts w:ascii="Times New Roman" w:hAnsi="Times New Roman"/>
          <w:color w:val="000000" w:themeColor="text1"/>
          <w:lang w:val="pt-BR"/>
        </w:rPr>
        <w:t>associada com os fatores de risco, com pretos e pardos tendo maior chance que brancos de estarem nos grupo de risco. Este resultado mostra a importância de se tratar o fenômeno de forma multidimensional, uma vez que há complexas interações entre diversas v</w:t>
      </w:r>
      <w:r w:rsidRPr="00944D78">
        <w:rPr>
          <w:rFonts w:ascii="Times New Roman" w:hAnsi="Times New Roman"/>
          <w:color w:val="000000" w:themeColor="text1"/>
          <w:lang w:val="pt-BR"/>
        </w:rPr>
        <w:t>ariáveis socioeconômicas. Trabalhos futuros podem avançar neste entendimento e avaliar como as diferentes variáveis consideradas neste trabalho, como sexo, nível de instrução e cor ou raça, interagem entre elas em sua associação com a variável resposta, co</w:t>
      </w:r>
      <w:r w:rsidRPr="00944D78">
        <w:rPr>
          <w:rFonts w:ascii="Times New Roman" w:hAnsi="Times New Roman"/>
          <w:color w:val="000000" w:themeColor="text1"/>
          <w:lang w:val="pt-BR"/>
        </w:rPr>
        <w:t>nforme sugere a literatura sobre o tema</w:t>
      </w:r>
      <w:r w:rsidRPr="00944D78">
        <w:rPr>
          <w:rFonts w:ascii="Times New Roman" w:hAnsi="Times New Roman"/>
          <w:color w:val="000000" w:themeColor="text1"/>
          <w:vertAlign w:val="superscript"/>
          <w:lang w:val="pt-BR"/>
        </w:rPr>
        <w:t>36</w:t>
      </w:r>
      <w:r w:rsidRPr="00944D78">
        <w:rPr>
          <w:rFonts w:ascii="Times New Roman" w:hAnsi="Times New Roman"/>
          <w:color w:val="000000" w:themeColor="text1"/>
          <w:lang w:val="pt-BR"/>
        </w:rPr>
        <w:t>.</w:t>
      </w:r>
    </w:p>
    <w:p w:rsidR="00B601FA" w:rsidRPr="00944D78" w:rsidRDefault="004E3D9B">
      <w:pPr>
        <w:rPr>
          <w:color w:val="000000" w:themeColor="text1"/>
          <w:lang w:val="pt-BR"/>
        </w:rPr>
      </w:pPr>
      <w:r w:rsidRPr="00944D78">
        <w:rPr>
          <w:rFonts w:ascii="Times New Roman" w:hAnsi="Times New Roman"/>
          <w:color w:val="000000" w:themeColor="text1"/>
          <w:lang w:val="pt-BR"/>
        </w:rPr>
        <w:t>Em relação aos diferenciais regionais, observou-se menor prevalência do conjunto das condições analisadas nas Regiões Norte e Nordeste. Tais diferenciais são provavelmente resultantes de um pior diagnóstico nessas</w:t>
      </w:r>
      <w:r w:rsidRPr="00944D78">
        <w:rPr>
          <w:rFonts w:ascii="Times New Roman" w:hAnsi="Times New Roman"/>
          <w:color w:val="000000" w:themeColor="text1"/>
          <w:lang w:val="pt-BR"/>
        </w:rPr>
        <w:t xml:space="preserve"> regiões em função do mais baixo acesso aos serviços de saúde e, consequentemente, a uma pior informação das pessoas sobre a avaliação de sua saúde</w:t>
      </w:r>
      <w:r w:rsidRPr="00944D78">
        <w:rPr>
          <w:rFonts w:ascii="Times New Roman" w:hAnsi="Times New Roman"/>
          <w:color w:val="000000" w:themeColor="text1"/>
          <w:vertAlign w:val="superscript"/>
          <w:lang w:val="pt-BR"/>
        </w:rPr>
        <w:t>34,35</w:t>
      </w:r>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lastRenderedPageBreak/>
        <w:t>Além de caracterizar os grupos de risco para COVID-19 em nível individual, este trabalho também traz e</w:t>
      </w:r>
      <w:r w:rsidRPr="00944D78">
        <w:rPr>
          <w:rFonts w:ascii="Times New Roman" w:hAnsi="Times New Roman"/>
          <w:color w:val="000000" w:themeColor="text1"/>
          <w:lang w:val="pt-BR"/>
        </w:rPr>
        <w:t xml:space="preserve">stimativas de indivíduos em convívio com a presença de pelo menos um morador no grupo de risco, o que pode ser relevante para estratégias de prevenção e mitigação ao considerar possibilidades de transmissão </w:t>
      </w:r>
      <w:proofErr w:type="spellStart"/>
      <w:r w:rsidRPr="00944D78">
        <w:rPr>
          <w:rFonts w:ascii="Times New Roman" w:hAnsi="Times New Roman"/>
          <w:color w:val="000000" w:themeColor="text1"/>
          <w:lang w:val="pt-BR"/>
        </w:rPr>
        <w:t>intradomiciliar</w:t>
      </w:r>
      <w:proofErr w:type="spellEnd"/>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Estima-se que 68,7% dos brasilei</w:t>
      </w:r>
      <w:r w:rsidRPr="00944D78">
        <w:rPr>
          <w:rFonts w:ascii="Times New Roman" w:hAnsi="Times New Roman"/>
          <w:color w:val="000000" w:themeColor="text1"/>
          <w:lang w:val="pt-BR"/>
        </w:rPr>
        <w:t>ros viviam, em 2013, com pelo menos uma pessoa no grupo de risco para desenvolvimento de complicações associadas a infecção por COVID-19. Além dos 30,3% de brasileiros que viviam com pelo menos um idoso, outros 38,4% não tinham idosos em seus domicílios, m</w:t>
      </w:r>
      <w:r w:rsidRPr="00944D78">
        <w:rPr>
          <w:rFonts w:ascii="Times New Roman" w:hAnsi="Times New Roman"/>
          <w:color w:val="000000" w:themeColor="text1"/>
          <w:lang w:val="pt-BR"/>
        </w:rPr>
        <w:t xml:space="preserve">as tinham pelo menos um morador adulto com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pré-existentes. A proporção de domicílios com pelo menos um morador pertencente ao grupo de risco varia regionalmente, com valores mais altos para alguns estados do Sul e Sudeste, podendo ser explicad</w:t>
      </w:r>
      <w:r w:rsidRPr="00944D78">
        <w:rPr>
          <w:rFonts w:ascii="Times New Roman" w:hAnsi="Times New Roman"/>
          <w:color w:val="000000" w:themeColor="text1"/>
          <w:lang w:val="pt-BR"/>
        </w:rPr>
        <w:t xml:space="preserve">a pela estrutura etária da população, composição domiciliar e prevalência de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associadas em cada região.</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A distribuição etária das pessoas vivendo em domicílios com pelo menos um morador no grupo de risco é, em geral, mais jovem. Contudo, há um</w:t>
      </w:r>
      <w:r w:rsidRPr="00944D78">
        <w:rPr>
          <w:rFonts w:ascii="Times New Roman" w:hAnsi="Times New Roman"/>
          <w:color w:val="000000" w:themeColor="text1"/>
          <w:lang w:val="pt-BR"/>
        </w:rPr>
        <w:t xml:space="preserve"> número extremamente alto de pessoas com idade entre 10 e 25 anos que vivem com pelo menos uma pessoas no grupo de risco, que são principalmente pais, mas também avós e outros parentes.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Tais resultados sugerem que o denominado isolamento vertical não se co</w:t>
      </w:r>
      <w:r w:rsidRPr="00944D78">
        <w:rPr>
          <w:rFonts w:ascii="Times New Roman" w:hAnsi="Times New Roman"/>
          <w:color w:val="000000" w:themeColor="text1"/>
          <w:lang w:val="pt-BR"/>
        </w:rPr>
        <w:t xml:space="preserve">nfigura em uma estratégia possível no contexto brasileiro, já que deveria ser combinado com o isolamento de todos os membros do domicílio, uma vez que é praticamente impossível evitar contato próximo </w:t>
      </w:r>
      <w:proofErr w:type="spellStart"/>
      <w:r w:rsidRPr="00944D78">
        <w:rPr>
          <w:rFonts w:ascii="Times New Roman" w:hAnsi="Times New Roman"/>
          <w:color w:val="000000" w:themeColor="text1"/>
          <w:lang w:val="pt-BR"/>
        </w:rPr>
        <w:t>intradomiciliar</w:t>
      </w:r>
      <w:proofErr w:type="spellEnd"/>
      <w:r w:rsidRPr="00944D78">
        <w:rPr>
          <w:rFonts w:ascii="Times New Roman" w:hAnsi="Times New Roman"/>
          <w:color w:val="000000" w:themeColor="text1"/>
          <w:lang w:val="pt-BR"/>
        </w:rPr>
        <w:t xml:space="preserve">. </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A análise por grupo etário traz, ainda</w:t>
      </w:r>
      <w:r w:rsidRPr="00944D78">
        <w:rPr>
          <w:rFonts w:ascii="Times New Roman" w:hAnsi="Times New Roman"/>
          <w:color w:val="000000" w:themeColor="text1"/>
          <w:lang w:val="pt-BR"/>
        </w:rPr>
        <w:t>, elementos para discussões sobre intervenções públicas, como fechamento de escolas e universidades. Apesar de crianças e jovens terem baixo risco de desenvolvimento de complicações em função da doença, mais de 50% das crianças de 0 a 5 anos vivem com pelo</w:t>
      </w:r>
      <w:r w:rsidRPr="00944D78">
        <w:rPr>
          <w:rFonts w:ascii="Times New Roman" w:hAnsi="Times New Roman"/>
          <w:color w:val="000000" w:themeColor="text1"/>
          <w:lang w:val="pt-BR"/>
        </w:rPr>
        <w:t xml:space="preserve"> menos uma pessoa no grupo de risco. Esse percentual chega a quase 70% dos jovens com idade próxima aos 20 anos, indicando que a atividade das escolas e universidades podem ser um importante canal de transmissão do vírus para domicílios com pessoas de alto</w:t>
      </w:r>
      <w:r w:rsidRPr="00944D78">
        <w:rPr>
          <w:rFonts w:ascii="Times New Roman" w:hAnsi="Times New Roman"/>
          <w:color w:val="000000" w:themeColor="text1"/>
          <w:lang w:val="pt-BR"/>
        </w:rPr>
        <w:t xml:space="preserve"> risco, sem contar o aumento dos fluxos nos transportes públicos que essa atividade envolve.</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Destaca-se que esta análise considera tão-somente as relações </w:t>
      </w:r>
      <w:proofErr w:type="spellStart"/>
      <w:r w:rsidRPr="00944D78">
        <w:rPr>
          <w:rFonts w:ascii="Times New Roman" w:hAnsi="Times New Roman"/>
          <w:color w:val="000000" w:themeColor="text1"/>
          <w:lang w:val="pt-BR"/>
        </w:rPr>
        <w:t>intradomiciliares</w:t>
      </w:r>
      <w:proofErr w:type="spellEnd"/>
      <w:r w:rsidRPr="00944D78">
        <w:rPr>
          <w:rFonts w:ascii="Times New Roman" w:hAnsi="Times New Roman"/>
          <w:color w:val="000000" w:themeColor="text1"/>
          <w:lang w:val="pt-BR"/>
        </w:rPr>
        <w:t>, mas deve-se ter em mente que muitas pessoas, particularmente os pertencentes aos g</w:t>
      </w:r>
      <w:r w:rsidRPr="00944D78">
        <w:rPr>
          <w:rFonts w:ascii="Times New Roman" w:hAnsi="Times New Roman"/>
          <w:color w:val="000000" w:themeColor="text1"/>
          <w:lang w:val="pt-BR"/>
        </w:rPr>
        <w:t xml:space="preserve">rupos de risco, como idosos, são dependentes de suporte de suas redes de relações sociais, que não necessariamente vivem no mesmo domicílio. Chama-se atenção, ainda, para o fato que os resultados de diversas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consideradas referem-se apenas aos </w:t>
      </w:r>
      <w:r w:rsidRPr="00944D78">
        <w:rPr>
          <w:rFonts w:ascii="Times New Roman" w:hAnsi="Times New Roman"/>
          <w:color w:val="000000" w:themeColor="text1"/>
          <w:lang w:val="pt-BR"/>
        </w:rPr>
        <w:t>indivíduos diagnosticados e que reportaram ter conhecimento das suas condições, o que se configura em uma das limitações deste trabalho. É esperado que uma parte da população nunca tenha feito o diagnóstico, o que poderia aumentar o percentual de pessoas e</w:t>
      </w:r>
      <w:r w:rsidRPr="00944D78">
        <w:rPr>
          <w:rFonts w:ascii="Times New Roman" w:hAnsi="Times New Roman"/>
          <w:color w:val="000000" w:themeColor="text1"/>
          <w:lang w:val="pt-BR"/>
        </w:rPr>
        <w:t>m grupo de risco para a maior gravidade e letalidade da doença em discussão. No caso de diabetes, por exemplo, estima-se que cerca de metade da população com a doença nunca teve diagnóstico prévio da doença</w:t>
      </w:r>
      <w:r w:rsidRPr="00944D78">
        <w:rPr>
          <w:rFonts w:ascii="Times New Roman" w:hAnsi="Times New Roman"/>
          <w:color w:val="000000" w:themeColor="text1"/>
          <w:vertAlign w:val="superscript"/>
          <w:lang w:val="pt-BR"/>
        </w:rPr>
        <w:t>37</w:t>
      </w:r>
      <w:r w:rsidRPr="00944D78">
        <w:rPr>
          <w:rFonts w:ascii="Times New Roman" w:hAnsi="Times New Roman"/>
          <w:color w:val="000000" w:themeColor="text1"/>
          <w:lang w:val="pt-BR"/>
        </w:rPr>
        <w:t>. As medidas de prevalência de obesidade mórbida</w:t>
      </w:r>
      <w:r w:rsidRPr="00944D78">
        <w:rPr>
          <w:rFonts w:ascii="Times New Roman" w:hAnsi="Times New Roman"/>
          <w:color w:val="000000" w:themeColor="text1"/>
          <w:lang w:val="pt-BR"/>
        </w:rPr>
        <w:t xml:space="preserve">, que utilizou medidas de peso e altura e a </w:t>
      </w:r>
      <w:r w:rsidRPr="00944D78">
        <w:rPr>
          <w:rFonts w:ascii="Times New Roman" w:hAnsi="Times New Roman"/>
          <w:color w:val="000000" w:themeColor="text1"/>
          <w:lang w:val="pt-BR"/>
        </w:rPr>
        <w:lastRenderedPageBreak/>
        <w:t>hipertensão arterial, que foi medida por instrumento e uso de medicamento, têm também suas limitações. A subestimação no diagnóstico das morbidades consideradas pode ser particularmente mais importante nas Regiõe</w:t>
      </w:r>
      <w:r w:rsidRPr="00944D78">
        <w:rPr>
          <w:rFonts w:ascii="Times New Roman" w:hAnsi="Times New Roman"/>
          <w:color w:val="000000" w:themeColor="text1"/>
          <w:lang w:val="pt-BR"/>
        </w:rPr>
        <w:t>s Norte e Nordeste, com problemas maiores de acesso a serviços de saúde e, consequentemente, menor capacidade de diagnóstico e acesso a medicamento, no caso da medida de hipertensão arterial</w:t>
      </w:r>
      <w:r w:rsidRPr="00944D78">
        <w:rPr>
          <w:rFonts w:ascii="Times New Roman" w:hAnsi="Times New Roman"/>
          <w:color w:val="000000" w:themeColor="text1"/>
          <w:vertAlign w:val="superscript"/>
          <w:lang w:val="pt-BR"/>
        </w:rPr>
        <w:t>21</w:t>
      </w:r>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Outra limitação deste trabalho é que utiliza informações de 20</w:t>
      </w:r>
      <w:r w:rsidRPr="00944D78">
        <w:rPr>
          <w:rFonts w:ascii="Times New Roman" w:hAnsi="Times New Roman"/>
          <w:color w:val="000000" w:themeColor="text1"/>
          <w:lang w:val="pt-BR"/>
        </w:rPr>
        <w:t>13, portanto defasadas em cerca de 7 anos do início da pandemia. Os dados aqui analisados poderão ser atualizados assim que os resultados da PNS 2019 estejam disponibilizados.</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Conclusões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Este trabalho procurou trazer elementos para o melhor entendimento da</w:t>
      </w:r>
      <w:r w:rsidRPr="00944D78">
        <w:rPr>
          <w:rFonts w:ascii="Times New Roman" w:hAnsi="Times New Roman"/>
          <w:color w:val="000000" w:themeColor="text1"/>
          <w:lang w:val="pt-BR"/>
        </w:rPr>
        <w:t xml:space="preserve"> estrutura demográfica e socioeconômica associada aos grupos de risco para COVID-19, bem como os contextos, particularmente </w:t>
      </w:r>
      <w:proofErr w:type="spellStart"/>
      <w:r w:rsidRPr="00944D78">
        <w:rPr>
          <w:rFonts w:ascii="Times New Roman" w:hAnsi="Times New Roman"/>
          <w:color w:val="000000" w:themeColor="text1"/>
          <w:lang w:val="pt-BR"/>
        </w:rPr>
        <w:t>intradomiciliares</w:t>
      </w:r>
      <w:proofErr w:type="spellEnd"/>
      <w:r w:rsidRPr="00944D78">
        <w:rPr>
          <w:rFonts w:ascii="Times New Roman" w:hAnsi="Times New Roman"/>
          <w:color w:val="000000" w:themeColor="text1"/>
          <w:lang w:val="pt-BR"/>
        </w:rPr>
        <w:t xml:space="preserve">, em que estão vivendo esses grupos mais vulneráveis, análises importantes para a construção de estratégias para o </w:t>
      </w:r>
      <w:r w:rsidRPr="00944D78">
        <w:rPr>
          <w:rFonts w:ascii="Times New Roman" w:hAnsi="Times New Roman"/>
          <w:color w:val="000000" w:themeColor="text1"/>
          <w:lang w:val="pt-BR"/>
        </w:rPr>
        <w:t xml:space="preserve">enfrentamento da pandemia. </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Com a disseminação da doença em diversas regiões do país, a subnotificação dos casos, as incertezas sobre se há de fato imunidade eficaz entre aqueles que se recuperaram da doença e o acometimento com gravidade da população adul</w:t>
      </w:r>
      <w:r w:rsidRPr="00944D78">
        <w:rPr>
          <w:rFonts w:ascii="Times New Roman" w:hAnsi="Times New Roman"/>
          <w:color w:val="000000" w:themeColor="text1"/>
          <w:lang w:val="pt-BR"/>
        </w:rPr>
        <w:t>ta jovem, como vem sendo observado no Brasil, as estratégias de controle da transmissibilidade da doença devem se valer da análise dos grupos de risco para a doença como um fator para o entendimento do avanço da pandemia no país. Tais análises devem ser em</w:t>
      </w:r>
      <w:r w:rsidRPr="00944D78">
        <w:rPr>
          <w:rFonts w:ascii="Times New Roman" w:hAnsi="Times New Roman"/>
          <w:color w:val="000000" w:themeColor="text1"/>
          <w:lang w:val="pt-BR"/>
        </w:rPr>
        <w:t>pregadas também na avaliação das medidas de manutenção de isolamento social, bem como os prazos, planos e etapas para uma futura retomada das atividades sociais em sua integralidade com riscos mitigados à vida das pessoas.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O que se sabe até o momento é que</w:t>
      </w:r>
      <w:r w:rsidRPr="00944D78">
        <w:rPr>
          <w:rFonts w:ascii="Times New Roman" w:hAnsi="Times New Roman"/>
          <w:color w:val="000000" w:themeColor="text1"/>
          <w:lang w:val="pt-BR"/>
        </w:rPr>
        <w:t xml:space="preserve"> os grupos populacionais mais vulneráveis, como idosos e pessoas com condições médicas pré-existentes devem sim, merecer atenção especial, mas o isolamento exclusivo desse grupo parece não ser uma estratégia eficaz, em função das características de saúde, </w:t>
      </w:r>
      <w:r w:rsidRPr="00944D78">
        <w:rPr>
          <w:rFonts w:ascii="Times New Roman" w:hAnsi="Times New Roman"/>
          <w:color w:val="000000" w:themeColor="text1"/>
          <w:lang w:val="pt-BR"/>
        </w:rPr>
        <w:t>socioeconômicas e das formas de relações sociais e de composição domiciliar. Os resultados desse trabalho corroboram com evidências de que estratégias de supressão, incluindo isolamento social de toda a população, são as mais adequadas no momento, por sere</w:t>
      </w:r>
      <w:r w:rsidRPr="00944D78">
        <w:rPr>
          <w:rFonts w:ascii="Times New Roman" w:hAnsi="Times New Roman"/>
          <w:color w:val="000000" w:themeColor="text1"/>
          <w:lang w:val="pt-BR"/>
        </w:rPr>
        <w:t>m aquelas que permitem o achatamento da curva de transmissão da doença, evitando crise ainda maior no sistema de saúde pública. Além disso, as informações são importantes também para o planejamento do tempo de seguimento da estratégia de distanciamento soc</w:t>
      </w:r>
      <w:r w:rsidRPr="00944D78">
        <w:rPr>
          <w:rFonts w:ascii="Times New Roman" w:hAnsi="Times New Roman"/>
          <w:color w:val="000000" w:themeColor="text1"/>
          <w:lang w:val="pt-BR"/>
        </w:rPr>
        <w:t>ial de toda população. A efetividade do distanciamento social pleno requer relações federativas sólidas para a implementação de ações rápidas e coordenadas por parte das esferas de poder, em prol da menor letalidade possível e redução dos danos socioeconôm</w:t>
      </w:r>
      <w:r w:rsidRPr="00944D78">
        <w:rPr>
          <w:rFonts w:ascii="Times New Roman" w:hAnsi="Times New Roman"/>
          <w:color w:val="000000" w:themeColor="text1"/>
          <w:lang w:val="pt-BR"/>
        </w:rPr>
        <w:t>icos.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Considera-se que o quadro atual no qual inexiste vacina para imunizar a população e nem remédios com eficácia comprovada para o tratamento da patologia e as deficiências do sistema público de saúde estão expostas sob a </w:t>
      </w:r>
      <w:r w:rsidRPr="00944D78">
        <w:rPr>
          <w:rFonts w:ascii="Times New Roman" w:hAnsi="Times New Roman"/>
          <w:color w:val="000000" w:themeColor="text1"/>
          <w:lang w:val="pt-BR"/>
        </w:rPr>
        <w:lastRenderedPageBreak/>
        <w:t>forma de carência de profission</w:t>
      </w:r>
      <w:r w:rsidRPr="00944D78">
        <w:rPr>
          <w:rFonts w:ascii="Times New Roman" w:hAnsi="Times New Roman"/>
          <w:color w:val="000000" w:themeColor="text1"/>
          <w:lang w:val="pt-BR"/>
        </w:rPr>
        <w:t>ais, insuficiência de equipamentos de proteção para os trabalhadores e escassez de recursos de UTI  como respirados/ventiladores mecânicos, um fator social relevante para a sobrevivência das  pessoas acometidas pela enfermidade, principalmente diante da en</w:t>
      </w:r>
      <w:r w:rsidRPr="00944D78">
        <w:rPr>
          <w:rFonts w:ascii="Times New Roman" w:hAnsi="Times New Roman"/>
          <w:color w:val="000000" w:themeColor="text1"/>
          <w:lang w:val="pt-BR"/>
        </w:rPr>
        <w:t>orme desigualdade observada entre a parcela da população que tem acesso aos serviços privados, por meio de planos de saúde, e aquelas que são unicamente dependentes do Sistema Único de Saúde (SUS).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É preciso ainda atentar para o fato de que trata-se de uma</w:t>
      </w:r>
      <w:r w:rsidRPr="00944D78">
        <w:rPr>
          <w:rFonts w:ascii="Times New Roman" w:hAnsi="Times New Roman"/>
          <w:color w:val="000000" w:themeColor="text1"/>
          <w:lang w:val="pt-BR"/>
        </w:rPr>
        <w:t xml:space="preserve"> enfermidade nova com enormes incertezas sobre o horizonte de necessidades para estratégias de enfrentamentos e, portanto, medidas de contenção da transmissão da pandemia, dos cuidados sanitários, de proteção social e socorro econômico emergencial a serem </w:t>
      </w:r>
      <w:r w:rsidRPr="00944D78">
        <w:rPr>
          <w:rFonts w:ascii="Times New Roman" w:hAnsi="Times New Roman"/>
          <w:color w:val="000000" w:themeColor="text1"/>
          <w:lang w:val="pt-BR"/>
        </w:rPr>
        <w:t>conduzidos devem considerar diversos cenários. Assim, os resultados apresentados nesse trabalho e suas possíveis derivações são relevantes, não somente para o debate corrente sobre as intervenções de saúde pública, mas também para planejar ações para outra</w:t>
      </w:r>
      <w:r w:rsidRPr="00944D78">
        <w:rPr>
          <w:rFonts w:ascii="Times New Roman" w:hAnsi="Times New Roman"/>
          <w:color w:val="000000" w:themeColor="text1"/>
          <w:lang w:val="pt-BR"/>
        </w:rPr>
        <w:t>s dimensões da vida social como o retorno as atividades educacionais ou laborais, as regras para convívio em espaços públicos, entre outras. Ações essas que possam minimizar novos colapsos da saúde e picos de transmissão e mortes, quando as medidas de inte</w:t>
      </w:r>
      <w:r w:rsidRPr="00944D78">
        <w:rPr>
          <w:rFonts w:ascii="Times New Roman" w:hAnsi="Times New Roman"/>
          <w:color w:val="000000" w:themeColor="text1"/>
          <w:lang w:val="pt-BR"/>
        </w:rPr>
        <w:t>rvenção, como o isolamento, forem relaxadas.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Para além das medidas aplicadas no período de emergência da pandemia, os resultados confirmam, ainda, que o perfil </w:t>
      </w:r>
      <w:proofErr w:type="spellStart"/>
      <w:r w:rsidRPr="00944D78">
        <w:rPr>
          <w:rFonts w:ascii="Times New Roman" w:hAnsi="Times New Roman"/>
          <w:color w:val="000000" w:themeColor="text1"/>
          <w:lang w:val="pt-BR"/>
        </w:rPr>
        <w:t>sociodemográfico</w:t>
      </w:r>
      <w:proofErr w:type="spellEnd"/>
      <w:r w:rsidRPr="00944D78">
        <w:rPr>
          <w:rFonts w:ascii="Times New Roman" w:hAnsi="Times New Roman"/>
          <w:color w:val="000000" w:themeColor="text1"/>
          <w:lang w:val="pt-BR"/>
        </w:rPr>
        <w:t xml:space="preserve"> e a prevalência das doenças crônicas presente em parcela expressiva da populaçã</w:t>
      </w:r>
      <w:r w:rsidRPr="00944D78">
        <w:rPr>
          <w:rFonts w:ascii="Times New Roman" w:hAnsi="Times New Roman"/>
          <w:color w:val="000000" w:themeColor="text1"/>
          <w:lang w:val="pt-BR"/>
        </w:rPr>
        <w:t>o  é um fator a ser observado para medidas estruturação do sistema público de saúde, sem as quais, em situações cotidianas ou naquelas agravadas por emergências sanitárias, a economia e demais dimensões da vida social são negativamente impactadas.</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Referênc</w:t>
      </w:r>
      <w:r w:rsidRPr="00944D78">
        <w:rPr>
          <w:rFonts w:ascii="Times New Roman" w:hAnsi="Times New Roman"/>
          <w:color w:val="000000" w:themeColor="text1"/>
          <w:lang w:val="pt-BR"/>
        </w:rPr>
        <w:t>ias</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1. </w:t>
      </w:r>
      <w:r w:rsidRPr="00944D78">
        <w:rPr>
          <w:rFonts w:ascii="Times New Roman" w:hAnsi="Times New Roman"/>
          <w:color w:val="000000" w:themeColor="text1"/>
        </w:rPr>
        <w:tab/>
        <w:t>World Health Organization. Coronavirus disease 2019 (COVID-19) situation report–51. Geneva, Switzerland: World Health Organization; 2020 [Internet]. WHO; 2020. Available from: https://www.who.int/docs/default-source/coronaviruse/situation-reports/2</w:t>
      </w:r>
      <w:r w:rsidRPr="00944D78">
        <w:rPr>
          <w:rFonts w:ascii="Times New Roman" w:hAnsi="Times New Roman"/>
          <w:color w:val="000000" w:themeColor="text1"/>
        </w:rPr>
        <w:t>0200311-sitrep-51-covid-19.pdf?sfvrsn=1ba62e57_10</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2. </w:t>
      </w:r>
      <w:r w:rsidRPr="00944D78">
        <w:rPr>
          <w:rFonts w:ascii="Times New Roman" w:hAnsi="Times New Roman"/>
          <w:color w:val="000000" w:themeColor="text1"/>
        </w:rPr>
        <w:tab/>
        <w:t>Johns Hopkins University. COVID-19 Dashboard by the Center for Systems Science and Engineering (CSSE) at Johns Hopkins University (JHU) [Internet]. 2020 [cited 2020 Jun 30]. Available from: https://gisa</w:t>
      </w:r>
      <w:r w:rsidRPr="00944D78">
        <w:rPr>
          <w:rFonts w:ascii="Times New Roman" w:hAnsi="Times New Roman"/>
          <w:color w:val="000000" w:themeColor="text1"/>
        </w:rPr>
        <w:t>nddata.maps.arcgis.com/apps/opsdashboard/index.html#/bda7594740fd40299423467b48e9ecf6</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3. </w:t>
      </w:r>
      <w:r w:rsidRPr="00944D78">
        <w:rPr>
          <w:rFonts w:ascii="Times New Roman" w:hAnsi="Times New Roman"/>
          <w:color w:val="000000" w:themeColor="text1"/>
          <w:lang w:val="pt-BR"/>
        </w:rPr>
        <w:tab/>
        <w:t xml:space="preserve">Rodriguez-Morales AJ, </w:t>
      </w:r>
      <w:proofErr w:type="spellStart"/>
      <w:r w:rsidRPr="00944D78">
        <w:rPr>
          <w:rFonts w:ascii="Times New Roman" w:hAnsi="Times New Roman"/>
          <w:color w:val="000000" w:themeColor="text1"/>
          <w:lang w:val="pt-BR"/>
        </w:rPr>
        <w:t>Gallego</w:t>
      </w:r>
      <w:proofErr w:type="spellEnd"/>
      <w:r w:rsidRPr="00944D78">
        <w:rPr>
          <w:rFonts w:ascii="Times New Roman" w:hAnsi="Times New Roman"/>
          <w:color w:val="000000" w:themeColor="text1"/>
          <w:lang w:val="pt-BR"/>
        </w:rPr>
        <w:t xml:space="preserve"> V, </w:t>
      </w:r>
      <w:proofErr w:type="spellStart"/>
      <w:r w:rsidRPr="00944D78">
        <w:rPr>
          <w:rFonts w:ascii="Times New Roman" w:hAnsi="Times New Roman"/>
          <w:color w:val="000000" w:themeColor="text1"/>
          <w:lang w:val="pt-BR"/>
        </w:rPr>
        <w:t>Escalera-Antezana</w:t>
      </w:r>
      <w:proofErr w:type="spellEnd"/>
      <w:r w:rsidRPr="00944D78">
        <w:rPr>
          <w:rFonts w:ascii="Times New Roman" w:hAnsi="Times New Roman"/>
          <w:color w:val="000000" w:themeColor="text1"/>
          <w:lang w:val="pt-BR"/>
        </w:rPr>
        <w:t xml:space="preserve"> JP, </w:t>
      </w:r>
      <w:proofErr w:type="spellStart"/>
      <w:r w:rsidRPr="00944D78">
        <w:rPr>
          <w:rFonts w:ascii="Times New Roman" w:hAnsi="Times New Roman"/>
          <w:color w:val="000000" w:themeColor="text1"/>
          <w:lang w:val="pt-BR"/>
        </w:rPr>
        <w:t>Méndez</w:t>
      </w:r>
      <w:proofErr w:type="spellEnd"/>
      <w:r w:rsidRPr="00944D78">
        <w:rPr>
          <w:rFonts w:ascii="Times New Roman" w:hAnsi="Times New Roman"/>
          <w:color w:val="000000" w:themeColor="text1"/>
          <w:lang w:val="pt-BR"/>
        </w:rPr>
        <w:t xml:space="preserve"> CA, </w:t>
      </w:r>
      <w:proofErr w:type="spellStart"/>
      <w:r w:rsidRPr="00944D78">
        <w:rPr>
          <w:rFonts w:ascii="Times New Roman" w:hAnsi="Times New Roman"/>
          <w:color w:val="000000" w:themeColor="text1"/>
          <w:lang w:val="pt-BR"/>
        </w:rPr>
        <w:t>Zambrano</w:t>
      </w:r>
      <w:proofErr w:type="spellEnd"/>
      <w:r w:rsidRPr="00944D78">
        <w:rPr>
          <w:rFonts w:ascii="Times New Roman" w:hAnsi="Times New Roman"/>
          <w:color w:val="000000" w:themeColor="text1"/>
          <w:lang w:val="pt-BR"/>
        </w:rPr>
        <w:t xml:space="preserve"> LI, Franco-Paredes C, et al. </w:t>
      </w:r>
      <w:r w:rsidRPr="00944D78">
        <w:rPr>
          <w:rFonts w:ascii="Times New Roman" w:hAnsi="Times New Roman"/>
          <w:color w:val="000000" w:themeColor="text1"/>
        </w:rPr>
        <w:t>COVID-19 in Latin America: The implications of the first confi</w:t>
      </w:r>
      <w:r w:rsidRPr="00944D78">
        <w:rPr>
          <w:rFonts w:ascii="Times New Roman" w:hAnsi="Times New Roman"/>
          <w:color w:val="000000" w:themeColor="text1"/>
        </w:rPr>
        <w:t xml:space="preserve">rmed case in Brazil. Travel Med Infect Dis. 2020;35:101613. </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4. </w:t>
      </w:r>
      <w:r w:rsidRPr="00944D78">
        <w:rPr>
          <w:rFonts w:ascii="Times New Roman" w:hAnsi="Times New Roman"/>
          <w:color w:val="000000" w:themeColor="text1"/>
        </w:rPr>
        <w:tab/>
      </w:r>
      <w:proofErr w:type="spellStart"/>
      <w:r w:rsidRPr="00944D78">
        <w:rPr>
          <w:rFonts w:ascii="Times New Roman" w:hAnsi="Times New Roman"/>
          <w:color w:val="000000" w:themeColor="text1"/>
        </w:rPr>
        <w:t>Kupferschmidt</w:t>
      </w:r>
      <w:proofErr w:type="spellEnd"/>
      <w:r w:rsidRPr="00944D78">
        <w:rPr>
          <w:rFonts w:ascii="Times New Roman" w:hAnsi="Times New Roman"/>
          <w:color w:val="000000" w:themeColor="text1"/>
        </w:rPr>
        <w:t xml:space="preserve"> K, </w:t>
      </w:r>
      <w:proofErr w:type="spellStart"/>
      <w:r w:rsidRPr="00944D78">
        <w:rPr>
          <w:rFonts w:ascii="Times New Roman" w:hAnsi="Times New Roman"/>
          <w:color w:val="000000" w:themeColor="text1"/>
        </w:rPr>
        <w:t>CohenMar</w:t>
      </w:r>
      <w:proofErr w:type="spellEnd"/>
      <w:r w:rsidRPr="00944D78">
        <w:rPr>
          <w:rFonts w:ascii="Times New Roman" w:hAnsi="Times New Roman"/>
          <w:color w:val="000000" w:themeColor="text1"/>
        </w:rPr>
        <w:t>. 2 J, 2020, Pm 4:50. China’s aggressive measures have slowed the coronavirus. They may not work in other countries [Internet]. Science | AAAS. 2020 [cited 2020 Apr 3</w:t>
      </w:r>
      <w:r w:rsidRPr="00944D78">
        <w:rPr>
          <w:rFonts w:ascii="Times New Roman" w:hAnsi="Times New Roman"/>
          <w:color w:val="000000" w:themeColor="text1"/>
        </w:rPr>
        <w:t>]. Available from: https://www.sciencemag.org/news/2020/03/china-s-aggressive-measures-have-slowed-coronavirus-they-may-not-work-other-countries</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5. </w:t>
      </w:r>
      <w:r w:rsidRPr="00944D78">
        <w:rPr>
          <w:rFonts w:ascii="Times New Roman" w:hAnsi="Times New Roman"/>
          <w:color w:val="000000" w:themeColor="text1"/>
        </w:rPr>
        <w:tab/>
        <w:t>Viner R, Russell S, Croker H, Packer J, Ward J, Stansfield C, et al. School Closure and Management Practice</w:t>
      </w:r>
      <w:r w:rsidRPr="00944D78">
        <w:rPr>
          <w:rFonts w:ascii="Times New Roman" w:hAnsi="Times New Roman"/>
          <w:color w:val="000000" w:themeColor="text1"/>
        </w:rPr>
        <w:t xml:space="preserve">s During Coronavirus Outbreaks Including COVID-19: A Rapid Narrative Systematic Review </w:t>
      </w:r>
      <w:r w:rsidRPr="00944D78">
        <w:rPr>
          <w:rFonts w:ascii="Times New Roman" w:hAnsi="Times New Roman"/>
          <w:color w:val="000000" w:themeColor="text1"/>
        </w:rPr>
        <w:lastRenderedPageBreak/>
        <w:t>[Internet]. Rochester, NY: Social Science Research Network; 2020 Mar [cited 2020 Apr 3]. Report No.: ID 3556648. Available from: https://papers.ssrn.com/abstract=3556648</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6. </w:t>
      </w:r>
      <w:r w:rsidRPr="00944D78">
        <w:rPr>
          <w:rFonts w:ascii="Times New Roman" w:hAnsi="Times New Roman"/>
          <w:color w:val="000000" w:themeColor="text1"/>
        </w:rPr>
        <w:tab/>
        <w:t>Koo JR, Cook AR, Park M, Sun Y, Sun H, Lim JT, et al. Interventions to mitigate early spread of SARS-CoV-2 in Singapore: a modelling study. The Lancet Infectious Diseases [Internet]. 2020 Mar 23 [cited 2020 Apr 3];0(0). Available from: https://www.the</w:t>
      </w:r>
      <w:r w:rsidRPr="00944D78">
        <w:rPr>
          <w:rFonts w:ascii="Times New Roman" w:hAnsi="Times New Roman"/>
          <w:color w:val="000000" w:themeColor="text1"/>
        </w:rPr>
        <w:t>lancet.com/journals/laninf/article/PIIS1473-3099(20)30162-6/abstract</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7. </w:t>
      </w:r>
      <w:r w:rsidRPr="00944D78">
        <w:rPr>
          <w:rFonts w:ascii="Times New Roman" w:hAnsi="Times New Roman"/>
          <w:color w:val="000000" w:themeColor="text1"/>
        </w:rPr>
        <w:tab/>
        <w:t xml:space="preserve">Ferguson N, </w:t>
      </w:r>
      <w:proofErr w:type="spellStart"/>
      <w:r w:rsidRPr="00944D78">
        <w:rPr>
          <w:rFonts w:ascii="Times New Roman" w:hAnsi="Times New Roman"/>
          <w:color w:val="000000" w:themeColor="text1"/>
        </w:rPr>
        <w:t>Laydon</w:t>
      </w:r>
      <w:proofErr w:type="spellEnd"/>
      <w:r w:rsidRPr="00944D78">
        <w:rPr>
          <w:rFonts w:ascii="Times New Roman" w:hAnsi="Times New Roman"/>
          <w:color w:val="000000" w:themeColor="text1"/>
        </w:rPr>
        <w:t xml:space="preserve"> D, </w:t>
      </w:r>
      <w:proofErr w:type="spellStart"/>
      <w:r w:rsidRPr="00944D78">
        <w:rPr>
          <w:rFonts w:ascii="Times New Roman" w:hAnsi="Times New Roman"/>
          <w:color w:val="000000" w:themeColor="text1"/>
        </w:rPr>
        <w:t>Nedjati</w:t>
      </w:r>
      <w:proofErr w:type="spellEnd"/>
      <w:r w:rsidRPr="00944D78">
        <w:rPr>
          <w:rFonts w:ascii="Times New Roman" w:hAnsi="Times New Roman"/>
          <w:color w:val="000000" w:themeColor="text1"/>
        </w:rPr>
        <w:t xml:space="preserve"> Gilani G, Imai N, Ainslie K, </w:t>
      </w:r>
      <w:proofErr w:type="spellStart"/>
      <w:r w:rsidRPr="00944D78">
        <w:rPr>
          <w:rFonts w:ascii="Times New Roman" w:hAnsi="Times New Roman"/>
          <w:color w:val="000000" w:themeColor="text1"/>
        </w:rPr>
        <w:t>Baguelin</w:t>
      </w:r>
      <w:proofErr w:type="spellEnd"/>
      <w:r w:rsidRPr="00944D78">
        <w:rPr>
          <w:rFonts w:ascii="Times New Roman" w:hAnsi="Times New Roman"/>
          <w:color w:val="000000" w:themeColor="text1"/>
        </w:rPr>
        <w:t xml:space="preserve"> M, et al. Impact of non-pharmaceutical interventions (NPIs) to reduce COVID19 mortality and healthcare demand </w:t>
      </w:r>
      <w:r w:rsidRPr="00944D78">
        <w:rPr>
          <w:rFonts w:ascii="Times New Roman" w:hAnsi="Times New Roman"/>
          <w:color w:val="000000" w:themeColor="text1"/>
        </w:rPr>
        <w:t>[Internet]. 2020 Mar [cited 2020 Apr 3]. Available from: http://spiral.imperial.ac.uk/handle/10044/1/77482</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8. </w:t>
      </w:r>
      <w:r w:rsidRPr="00944D78">
        <w:rPr>
          <w:rFonts w:ascii="Times New Roman" w:hAnsi="Times New Roman"/>
          <w:color w:val="000000" w:themeColor="text1"/>
          <w:lang w:val="pt-BR"/>
        </w:rPr>
        <w:tab/>
        <w:t>Agência Brasil. Veja as medidas que cada estado está adotando para combater a covid-19. Agência Brasil [Internet]. 2020 Mar 28 [</w:t>
      </w:r>
      <w:proofErr w:type="spellStart"/>
      <w:r w:rsidRPr="00944D78">
        <w:rPr>
          <w:rFonts w:ascii="Times New Roman" w:hAnsi="Times New Roman"/>
          <w:color w:val="000000" w:themeColor="text1"/>
          <w:lang w:val="pt-BR"/>
        </w:rPr>
        <w:t>cited</w:t>
      </w:r>
      <w:proofErr w:type="spellEnd"/>
      <w:r w:rsidRPr="00944D78">
        <w:rPr>
          <w:rFonts w:ascii="Times New Roman" w:hAnsi="Times New Roman"/>
          <w:color w:val="000000" w:themeColor="text1"/>
          <w:lang w:val="pt-BR"/>
        </w:rPr>
        <w:t xml:space="preserve"> 2020 </w:t>
      </w:r>
      <w:proofErr w:type="spellStart"/>
      <w:r w:rsidRPr="00944D78">
        <w:rPr>
          <w:rFonts w:ascii="Times New Roman" w:hAnsi="Times New Roman"/>
          <w:color w:val="000000" w:themeColor="text1"/>
          <w:lang w:val="pt-BR"/>
        </w:rPr>
        <w:t>Apr</w:t>
      </w:r>
      <w:proofErr w:type="spellEnd"/>
      <w:r w:rsidRPr="00944D78">
        <w:rPr>
          <w:rFonts w:ascii="Times New Roman" w:hAnsi="Times New Roman"/>
          <w:color w:val="000000" w:themeColor="text1"/>
          <w:lang w:val="pt-BR"/>
        </w:rPr>
        <w:t xml:space="preserve"> 3]</w:t>
      </w:r>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Available</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from</w:t>
      </w:r>
      <w:proofErr w:type="spellEnd"/>
      <w:r w:rsidRPr="00944D78">
        <w:rPr>
          <w:rFonts w:ascii="Times New Roman" w:hAnsi="Times New Roman"/>
          <w:color w:val="000000" w:themeColor="text1"/>
          <w:lang w:val="pt-BR"/>
        </w:rPr>
        <w:t>: https://agenciabrasil.ebc.com.br/saude/noticia/2020-03/veja-medidas-que-cada-estado-esta-adotando-para-combater-covid-19</w:t>
      </w:r>
    </w:p>
    <w:p w:rsidR="00B601FA" w:rsidRPr="00944D78" w:rsidRDefault="004E3D9B">
      <w:pPr>
        <w:pStyle w:val="Bibliography"/>
        <w:rPr>
          <w:color w:val="000000" w:themeColor="text1"/>
          <w:lang w:val="pt-BR"/>
        </w:rPr>
      </w:pPr>
      <w:r w:rsidRPr="00944D78">
        <w:rPr>
          <w:rFonts w:ascii="Times New Roman" w:hAnsi="Times New Roman"/>
          <w:color w:val="000000" w:themeColor="text1"/>
        </w:rPr>
        <w:t xml:space="preserve">9. </w:t>
      </w:r>
      <w:r w:rsidRPr="00944D78">
        <w:rPr>
          <w:rFonts w:ascii="Times New Roman" w:hAnsi="Times New Roman"/>
          <w:color w:val="000000" w:themeColor="text1"/>
        </w:rPr>
        <w:tab/>
        <w:t xml:space="preserve">The Lancet  null. COVID-19 in Brazil: “So what?” </w:t>
      </w:r>
      <w:r w:rsidRPr="00944D78">
        <w:rPr>
          <w:rFonts w:ascii="Times New Roman" w:hAnsi="Times New Roman"/>
          <w:color w:val="000000" w:themeColor="text1"/>
          <w:lang w:val="pt-BR"/>
        </w:rPr>
        <w:t xml:space="preserve">Lancet. 2020 09;395(10235):1461. </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10. </w:t>
      </w:r>
      <w:r w:rsidRPr="00944D78">
        <w:rPr>
          <w:rFonts w:ascii="Times New Roman" w:hAnsi="Times New Roman"/>
          <w:color w:val="000000" w:themeColor="text1"/>
          <w:lang w:val="pt-BR"/>
        </w:rPr>
        <w:tab/>
        <w:t>Rocha C. O isolamento ver</w:t>
      </w:r>
      <w:r w:rsidRPr="00944D78">
        <w:rPr>
          <w:rFonts w:ascii="Times New Roman" w:hAnsi="Times New Roman"/>
          <w:color w:val="000000" w:themeColor="text1"/>
          <w:lang w:val="pt-BR"/>
        </w:rPr>
        <w:t xml:space="preserve">tical defendido por Bolsonaro sob análise. </w:t>
      </w:r>
      <w:proofErr w:type="spellStart"/>
      <w:r w:rsidRPr="00944D78">
        <w:rPr>
          <w:rFonts w:ascii="Times New Roman" w:hAnsi="Times New Roman"/>
          <w:color w:val="000000" w:themeColor="text1"/>
        </w:rPr>
        <w:t>Nexo</w:t>
      </w:r>
      <w:proofErr w:type="spellEnd"/>
      <w:r w:rsidRPr="00944D78">
        <w:rPr>
          <w:rFonts w:ascii="Times New Roman" w:hAnsi="Times New Roman"/>
          <w:color w:val="000000" w:themeColor="text1"/>
        </w:rPr>
        <w:t xml:space="preserve"> </w:t>
      </w:r>
      <w:proofErr w:type="spellStart"/>
      <w:r w:rsidRPr="00944D78">
        <w:rPr>
          <w:rFonts w:ascii="Times New Roman" w:hAnsi="Times New Roman"/>
          <w:color w:val="000000" w:themeColor="text1"/>
        </w:rPr>
        <w:t>Jornal</w:t>
      </w:r>
      <w:proofErr w:type="spellEnd"/>
      <w:r w:rsidRPr="00944D78">
        <w:rPr>
          <w:rFonts w:ascii="Times New Roman" w:hAnsi="Times New Roman"/>
          <w:color w:val="000000" w:themeColor="text1"/>
        </w:rPr>
        <w:t xml:space="preserve"> [Internet]. 2020 Mar 25 [cited 2020 Apr 3]; Available from: https://www.nexojornal.com.br/expresso/2020/03/25/O-isolamento-vertical-defendido-por-Bolsonaro-sob-an%C3%A1lise</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11. </w:t>
      </w:r>
      <w:r w:rsidRPr="00944D78">
        <w:rPr>
          <w:rFonts w:ascii="Times New Roman" w:hAnsi="Times New Roman"/>
          <w:color w:val="000000" w:themeColor="text1"/>
        </w:rPr>
        <w:tab/>
        <w:t>Katz D. Is Our Fight Ag</w:t>
      </w:r>
      <w:r w:rsidRPr="00944D78">
        <w:rPr>
          <w:rFonts w:ascii="Times New Roman" w:hAnsi="Times New Roman"/>
          <w:color w:val="000000" w:themeColor="text1"/>
        </w:rPr>
        <w:t>ainst Coronavirus Worse Than the Disease? - The New York Times. 2020 Mar 20 [cited 2020 Apr 3]; Available from: https://www.nytimes.com/2020/03/20/opinion/coronavirus-pandemic-social-distancing.html</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12. </w:t>
      </w:r>
      <w:r w:rsidRPr="00944D78">
        <w:rPr>
          <w:rFonts w:ascii="Times New Roman" w:hAnsi="Times New Roman"/>
          <w:color w:val="000000" w:themeColor="text1"/>
        </w:rPr>
        <w:tab/>
        <w:t xml:space="preserve">Chen N, Zhou M, Dong X, Qu J, Gong F, Han Y, et al. </w:t>
      </w:r>
      <w:r w:rsidRPr="00944D78">
        <w:rPr>
          <w:rFonts w:ascii="Times New Roman" w:hAnsi="Times New Roman"/>
          <w:color w:val="000000" w:themeColor="text1"/>
        </w:rPr>
        <w:t xml:space="preserve">Epidemiological and clinical characteristics of 99 cases of 2019 novel coronavirus pneumonia in Wuhan, China: a descriptive study. The Lancet. 2020 Feb 15;395(10223):507–13. </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13. </w:t>
      </w:r>
      <w:r w:rsidRPr="00944D78">
        <w:rPr>
          <w:rFonts w:ascii="Times New Roman" w:hAnsi="Times New Roman"/>
          <w:color w:val="000000" w:themeColor="text1"/>
        </w:rPr>
        <w:tab/>
        <w:t>Zhou F, Yu T, Du R, Fan G, Liu Y, Liu Z, et al. Clinical course and risk fac</w:t>
      </w:r>
      <w:r w:rsidRPr="00944D78">
        <w:rPr>
          <w:rFonts w:ascii="Times New Roman" w:hAnsi="Times New Roman"/>
          <w:color w:val="000000" w:themeColor="text1"/>
        </w:rPr>
        <w:t xml:space="preserve">tors for mortality of adult inpatients with COVID-19 in Wuhan, China: a retrospective cohort study. The Lancet. 2020 Mar 28;395(10229):1054–62. </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14. </w:t>
      </w:r>
      <w:r w:rsidRPr="00944D78">
        <w:rPr>
          <w:rFonts w:ascii="Times New Roman" w:hAnsi="Times New Roman"/>
          <w:color w:val="000000" w:themeColor="text1"/>
        </w:rPr>
        <w:tab/>
        <w:t xml:space="preserve">Huang C, Wang Y, Li X, Ren L, Zhao J, Hu Y, et al. Clinical features of patients infected with 2019 novel </w:t>
      </w:r>
      <w:r w:rsidRPr="00944D78">
        <w:rPr>
          <w:rFonts w:ascii="Times New Roman" w:hAnsi="Times New Roman"/>
          <w:color w:val="000000" w:themeColor="text1"/>
        </w:rPr>
        <w:t xml:space="preserve">coronavirus in Wuhan, China. The Lancet. 2020 Feb 15;395(10223):497–506. </w:t>
      </w:r>
    </w:p>
    <w:p w:rsidR="00B601FA" w:rsidRPr="00944D78" w:rsidRDefault="004E3D9B">
      <w:pPr>
        <w:pStyle w:val="Bibliography"/>
        <w:rPr>
          <w:color w:val="000000" w:themeColor="text1"/>
          <w:lang w:val="pt-BR"/>
        </w:rPr>
      </w:pPr>
      <w:r w:rsidRPr="00944D78">
        <w:rPr>
          <w:rFonts w:ascii="Times New Roman" w:hAnsi="Times New Roman"/>
          <w:color w:val="000000" w:themeColor="text1"/>
        </w:rPr>
        <w:t xml:space="preserve">15. </w:t>
      </w:r>
      <w:r w:rsidRPr="00944D78">
        <w:rPr>
          <w:rFonts w:ascii="Times New Roman" w:hAnsi="Times New Roman"/>
          <w:color w:val="000000" w:themeColor="text1"/>
        </w:rPr>
        <w:tab/>
        <w:t xml:space="preserve">Fang L, </w:t>
      </w:r>
      <w:proofErr w:type="spellStart"/>
      <w:r w:rsidRPr="00944D78">
        <w:rPr>
          <w:rFonts w:ascii="Times New Roman" w:hAnsi="Times New Roman"/>
          <w:color w:val="000000" w:themeColor="text1"/>
        </w:rPr>
        <w:t>Karakiulakis</w:t>
      </w:r>
      <w:proofErr w:type="spellEnd"/>
      <w:r w:rsidRPr="00944D78">
        <w:rPr>
          <w:rFonts w:ascii="Times New Roman" w:hAnsi="Times New Roman"/>
          <w:color w:val="000000" w:themeColor="text1"/>
        </w:rPr>
        <w:t xml:space="preserve"> G, Roth M. Are patients with hypertension and diabetes mellitus at increased risk for COVID-19 infection? </w:t>
      </w:r>
      <w:r w:rsidRPr="00944D78">
        <w:rPr>
          <w:rFonts w:ascii="Times New Roman" w:hAnsi="Times New Roman"/>
          <w:color w:val="000000" w:themeColor="text1"/>
          <w:lang w:val="pt-BR"/>
        </w:rPr>
        <w:t xml:space="preserve">Lancet </w:t>
      </w:r>
      <w:proofErr w:type="spellStart"/>
      <w:r w:rsidRPr="00944D78">
        <w:rPr>
          <w:rFonts w:ascii="Times New Roman" w:hAnsi="Times New Roman"/>
          <w:color w:val="000000" w:themeColor="text1"/>
          <w:lang w:val="pt-BR"/>
        </w:rPr>
        <w:t>Respir</w:t>
      </w:r>
      <w:proofErr w:type="spellEnd"/>
      <w:r w:rsidRPr="00944D78">
        <w:rPr>
          <w:rFonts w:ascii="Times New Roman" w:hAnsi="Times New Roman"/>
          <w:color w:val="000000" w:themeColor="text1"/>
          <w:lang w:val="pt-BR"/>
        </w:rPr>
        <w:t xml:space="preserve"> Med. 2020 Mar 11; </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16. </w:t>
      </w:r>
      <w:r w:rsidRPr="00944D78">
        <w:rPr>
          <w:rFonts w:ascii="Times New Roman" w:hAnsi="Times New Roman"/>
          <w:color w:val="000000" w:themeColor="text1"/>
          <w:lang w:val="pt-BR"/>
        </w:rPr>
        <w:tab/>
        <w:t>RENAVE, CNE,</w:t>
      </w:r>
      <w:r w:rsidRPr="00944D78">
        <w:rPr>
          <w:rFonts w:ascii="Times New Roman" w:hAnsi="Times New Roman"/>
          <w:color w:val="000000" w:themeColor="text1"/>
          <w:lang w:val="pt-BR"/>
        </w:rPr>
        <w:t xml:space="preserve"> CNM. Informe sobre </w:t>
      </w:r>
      <w:proofErr w:type="spellStart"/>
      <w:r w:rsidRPr="00944D78">
        <w:rPr>
          <w:rFonts w:ascii="Times New Roman" w:hAnsi="Times New Roman"/>
          <w:color w:val="000000" w:themeColor="text1"/>
          <w:lang w:val="pt-BR"/>
        </w:rPr>
        <w:t>la</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situación</w:t>
      </w:r>
      <w:proofErr w:type="spellEnd"/>
      <w:r w:rsidRPr="00944D78">
        <w:rPr>
          <w:rFonts w:ascii="Times New Roman" w:hAnsi="Times New Roman"/>
          <w:color w:val="000000" w:themeColor="text1"/>
          <w:lang w:val="pt-BR"/>
        </w:rPr>
        <w:t xml:space="preserve"> de COVID-19enEspaña [Internet]. </w:t>
      </w:r>
      <w:r w:rsidRPr="00944D78">
        <w:rPr>
          <w:rFonts w:ascii="Times New Roman" w:hAnsi="Times New Roman"/>
          <w:color w:val="000000" w:themeColor="text1"/>
        </w:rPr>
        <w:t>2020 Apr [cited 2020 Apr 4]. Report No.: 20. Available from: https://www.isciii.es/QueHacemos/Servicios/VigilanciaSaludPublicaRENAVE/EnfermedadesTransmisibles/Documents/INFORMES/Informes%20CO</w:t>
      </w:r>
      <w:r w:rsidRPr="00944D78">
        <w:rPr>
          <w:rFonts w:ascii="Times New Roman" w:hAnsi="Times New Roman"/>
          <w:color w:val="000000" w:themeColor="text1"/>
        </w:rPr>
        <w:t>VID-19/Informe%20n%C2%BA%2020.%20Situaci%C3%B3n%20de%20COVID-19%20en%20Espa%C3%B1a%20a%203%20de%20abril%20de%202020.pdf</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17. </w:t>
      </w:r>
      <w:r w:rsidRPr="00944D78">
        <w:rPr>
          <w:rFonts w:ascii="Times New Roman" w:hAnsi="Times New Roman"/>
          <w:color w:val="000000" w:themeColor="text1"/>
          <w:lang w:val="pt-BR"/>
        </w:rPr>
        <w:tab/>
        <w:t xml:space="preserve">Prazeres L, Mariz R, Souza A de. </w:t>
      </w:r>
      <w:proofErr w:type="spellStart"/>
      <w:r w:rsidRPr="00944D78">
        <w:rPr>
          <w:rFonts w:ascii="Times New Roman" w:hAnsi="Times New Roman"/>
          <w:color w:val="000000" w:themeColor="text1"/>
          <w:lang w:val="pt-BR"/>
        </w:rPr>
        <w:t>Coronavírus</w:t>
      </w:r>
      <w:proofErr w:type="spellEnd"/>
      <w:r w:rsidRPr="00944D78">
        <w:rPr>
          <w:rFonts w:ascii="Times New Roman" w:hAnsi="Times New Roman"/>
          <w:color w:val="000000" w:themeColor="text1"/>
          <w:lang w:val="pt-BR"/>
        </w:rPr>
        <w:t xml:space="preserve">: Brasil tem 2.915 casos confirmados e 77 mortes. </w:t>
      </w:r>
      <w:r w:rsidRPr="00944D78">
        <w:rPr>
          <w:rFonts w:ascii="Times New Roman" w:hAnsi="Times New Roman"/>
          <w:color w:val="000000" w:themeColor="text1"/>
        </w:rPr>
        <w:t>2020 Mar 26; Available from: https://</w:t>
      </w:r>
      <w:r w:rsidRPr="00944D78">
        <w:rPr>
          <w:rFonts w:ascii="Times New Roman" w:hAnsi="Times New Roman"/>
          <w:color w:val="000000" w:themeColor="text1"/>
        </w:rPr>
        <w:t>oglobo.globo.com/sociedade/coronavirus/coronavirus-brasil-tem-2915-casos-confirmados-77-mortes-1-24330514</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lastRenderedPageBreak/>
        <w:t xml:space="preserve">18. </w:t>
      </w:r>
      <w:r w:rsidRPr="00944D78">
        <w:rPr>
          <w:rFonts w:ascii="Times New Roman" w:hAnsi="Times New Roman"/>
          <w:color w:val="000000" w:themeColor="text1"/>
          <w:lang w:val="pt-BR"/>
        </w:rPr>
        <w:tab/>
        <w:t xml:space="preserve">Rache B, Rocha R, Nunes L, </w:t>
      </w:r>
      <w:proofErr w:type="spellStart"/>
      <w:r w:rsidRPr="00944D78">
        <w:rPr>
          <w:rFonts w:ascii="Times New Roman" w:hAnsi="Times New Roman"/>
          <w:color w:val="000000" w:themeColor="text1"/>
          <w:lang w:val="pt-BR"/>
        </w:rPr>
        <w:t>Spinola</w:t>
      </w:r>
      <w:proofErr w:type="spellEnd"/>
      <w:r w:rsidRPr="00944D78">
        <w:rPr>
          <w:rFonts w:ascii="Times New Roman" w:hAnsi="Times New Roman"/>
          <w:color w:val="000000" w:themeColor="text1"/>
          <w:lang w:val="pt-BR"/>
        </w:rPr>
        <w:t xml:space="preserve"> P, </w:t>
      </w:r>
      <w:proofErr w:type="spellStart"/>
      <w:r w:rsidRPr="00944D78">
        <w:rPr>
          <w:rFonts w:ascii="Times New Roman" w:hAnsi="Times New Roman"/>
          <w:color w:val="000000" w:themeColor="text1"/>
          <w:lang w:val="pt-BR"/>
        </w:rPr>
        <w:t>Malik</w:t>
      </w:r>
      <w:proofErr w:type="spellEnd"/>
      <w:r w:rsidRPr="00944D78">
        <w:rPr>
          <w:rFonts w:ascii="Times New Roman" w:hAnsi="Times New Roman"/>
          <w:color w:val="000000" w:themeColor="text1"/>
          <w:lang w:val="pt-BR"/>
        </w:rPr>
        <w:t xml:space="preserve"> AM, Massuda A. Necessidades de Infraestrutura do SUS em Preparo à COVID-19: Leitos de UTI, Respirador</w:t>
      </w:r>
      <w:r w:rsidRPr="00944D78">
        <w:rPr>
          <w:rFonts w:ascii="Times New Roman" w:hAnsi="Times New Roman"/>
          <w:color w:val="000000" w:themeColor="text1"/>
          <w:lang w:val="pt-BR"/>
        </w:rPr>
        <w:t xml:space="preserve">es e Ocupação Hospitalar. São Paulo: IEPS; 2020 Mar. </w:t>
      </w:r>
      <w:proofErr w:type="spellStart"/>
      <w:r w:rsidRPr="00944D78">
        <w:rPr>
          <w:rFonts w:ascii="Times New Roman" w:hAnsi="Times New Roman"/>
          <w:color w:val="000000" w:themeColor="text1"/>
          <w:lang w:val="pt-BR"/>
        </w:rPr>
        <w:t>Report</w:t>
      </w:r>
      <w:proofErr w:type="spellEnd"/>
      <w:r w:rsidRPr="00944D78">
        <w:rPr>
          <w:rFonts w:ascii="Times New Roman" w:hAnsi="Times New Roman"/>
          <w:color w:val="000000" w:themeColor="text1"/>
          <w:lang w:val="pt-BR"/>
        </w:rPr>
        <w:t xml:space="preserve"> No.: 3. </w:t>
      </w:r>
    </w:p>
    <w:p w:rsidR="00B601FA" w:rsidRPr="00944D78" w:rsidRDefault="004E3D9B">
      <w:pPr>
        <w:pStyle w:val="Bibliography"/>
        <w:rPr>
          <w:color w:val="000000" w:themeColor="text1"/>
          <w:lang w:val="pt-BR"/>
        </w:rPr>
      </w:pPr>
      <w:r w:rsidRPr="00944D78">
        <w:rPr>
          <w:rFonts w:ascii="Times New Roman" w:hAnsi="Times New Roman"/>
          <w:color w:val="000000" w:themeColor="text1"/>
          <w:lang w:val="pt-BR"/>
        </w:rPr>
        <w:t xml:space="preserve">19. </w:t>
      </w:r>
      <w:r w:rsidRPr="00944D78">
        <w:rPr>
          <w:rFonts w:ascii="Times New Roman" w:hAnsi="Times New Roman"/>
          <w:color w:val="000000" w:themeColor="text1"/>
          <w:lang w:val="pt-BR"/>
        </w:rPr>
        <w:tab/>
        <w:t xml:space="preserve">Rezende LFM, </w:t>
      </w:r>
      <w:proofErr w:type="spellStart"/>
      <w:r w:rsidRPr="00944D78">
        <w:rPr>
          <w:rFonts w:ascii="Times New Roman" w:hAnsi="Times New Roman"/>
          <w:color w:val="000000" w:themeColor="text1"/>
          <w:lang w:val="pt-BR"/>
        </w:rPr>
        <w:t>Thome</w:t>
      </w:r>
      <w:proofErr w:type="spellEnd"/>
      <w:r w:rsidRPr="00944D78">
        <w:rPr>
          <w:rFonts w:ascii="Times New Roman" w:hAnsi="Times New Roman"/>
          <w:color w:val="000000" w:themeColor="text1"/>
          <w:lang w:val="pt-BR"/>
        </w:rPr>
        <w:t xml:space="preserve"> B, </w:t>
      </w:r>
      <w:proofErr w:type="spellStart"/>
      <w:r w:rsidRPr="00944D78">
        <w:rPr>
          <w:rFonts w:ascii="Times New Roman" w:hAnsi="Times New Roman"/>
          <w:color w:val="000000" w:themeColor="text1"/>
          <w:lang w:val="pt-BR"/>
        </w:rPr>
        <w:t>Schveitzer</w:t>
      </w:r>
      <w:proofErr w:type="spellEnd"/>
      <w:r w:rsidRPr="00944D78">
        <w:rPr>
          <w:rFonts w:ascii="Times New Roman" w:hAnsi="Times New Roman"/>
          <w:color w:val="000000" w:themeColor="text1"/>
          <w:lang w:val="pt-BR"/>
        </w:rPr>
        <w:t xml:space="preserve"> MC, Souza-Júnior PRB de, </w:t>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w:t>
      </w:r>
      <w:r w:rsidRPr="00944D78">
        <w:rPr>
          <w:rFonts w:ascii="Times New Roman" w:hAnsi="Times New Roman"/>
          <w:color w:val="000000" w:themeColor="text1"/>
        </w:rPr>
        <w:t xml:space="preserve">Adults at high-risk of severe coronavirus disease-2019 (Covid-19) in Brazil. </w:t>
      </w:r>
      <w:proofErr w:type="spellStart"/>
      <w:r w:rsidRPr="00944D78">
        <w:rPr>
          <w:rFonts w:ascii="Times New Roman" w:hAnsi="Times New Roman"/>
          <w:color w:val="000000" w:themeColor="text1"/>
          <w:lang w:val="pt-BR"/>
        </w:rPr>
        <w:t>Rev</w:t>
      </w:r>
      <w:proofErr w:type="spellEnd"/>
      <w:r w:rsidRPr="00944D78">
        <w:rPr>
          <w:rFonts w:ascii="Times New Roman" w:hAnsi="Times New Roman"/>
          <w:color w:val="000000" w:themeColor="text1"/>
          <w:lang w:val="pt-BR"/>
        </w:rPr>
        <w:t xml:space="preserve"> Saúde Pública. 2020 May 15;5</w:t>
      </w:r>
      <w:r w:rsidRPr="00944D78">
        <w:rPr>
          <w:rFonts w:ascii="Times New Roman" w:hAnsi="Times New Roman"/>
          <w:color w:val="000000" w:themeColor="text1"/>
          <w:lang w:val="pt-BR"/>
        </w:rPr>
        <w:t xml:space="preserve">4. </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20. </w:t>
      </w:r>
      <w:r w:rsidRPr="00944D78">
        <w:rPr>
          <w:rFonts w:ascii="Times New Roman" w:hAnsi="Times New Roman"/>
          <w:color w:val="000000" w:themeColor="text1"/>
          <w:lang w:val="pt-BR"/>
        </w:rPr>
        <w:tab/>
        <w:t xml:space="preserve">Carvalho L, Nassif Pires L, de Lima Xavier L. COVID-19 e Desigualdade: a distribuição dos fatores de risco no Brasil [Internet]. </w:t>
      </w:r>
      <w:r w:rsidRPr="00944D78">
        <w:rPr>
          <w:rFonts w:ascii="Times New Roman" w:hAnsi="Times New Roman"/>
          <w:color w:val="000000" w:themeColor="text1"/>
        </w:rPr>
        <w:t>2020 Apr. Available from: https://www.researchgate.net/publication/340452851_COVID-19_e_Desigualdade_no_Brasil</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21. </w:t>
      </w:r>
      <w:r w:rsidRPr="00944D78">
        <w:rPr>
          <w:rFonts w:ascii="Times New Roman" w:hAnsi="Times New Roman"/>
          <w:color w:val="000000" w:themeColor="text1"/>
          <w:lang w:val="pt-BR"/>
        </w:rPr>
        <w:tab/>
        <w:t>Ma</w:t>
      </w:r>
      <w:r w:rsidRPr="00944D78">
        <w:rPr>
          <w:rFonts w:ascii="Times New Roman" w:hAnsi="Times New Roman"/>
          <w:color w:val="000000" w:themeColor="text1"/>
          <w:lang w:val="pt-BR"/>
        </w:rPr>
        <w:t xml:space="preserve">lta DC, Gonçalves RPF, Machado ÍE, Freitas MI de F, Azeredo C, </w:t>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Prevalência da hipertensão arterial segundo diferentes critérios diagnósticos, Pesquisa Nacional de Saúde. </w:t>
      </w:r>
      <w:proofErr w:type="spellStart"/>
      <w:r w:rsidRPr="00944D78">
        <w:rPr>
          <w:rFonts w:ascii="Times New Roman" w:hAnsi="Times New Roman"/>
          <w:color w:val="000000" w:themeColor="text1"/>
          <w:lang w:val="pt-BR"/>
        </w:rPr>
        <w:t>Rev</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bras</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epidemiol</w:t>
      </w:r>
      <w:proofErr w:type="spellEnd"/>
      <w:r w:rsidRPr="00944D78">
        <w:rPr>
          <w:rFonts w:ascii="Times New Roman" w:hAnsi="Times New Roman"/>
          <w:color w:val="000000" w:themeColor="text1"/>
          <w:lang w:val="pt-BR"/>
        </w:rPr>
        <w:t xml:space="preserve">. 2018 </w:t>
      </w:r>
      <w:proofErr w:type="spellStart"/>
      <w:r w:rsidRPr="00944D78">
        <w:rPr>
          <w:rFonts w:ascii="Times New Roman" w:hAnsi="Times New Roman"/>
          <w:color w:val="000000" w:themeColor="text1"/>
          <w:lang w:val="pt-BR"/>
        </w:rPr>
        <w:t>Nov</w:t>
      </w:r>
      <w:proofErr w:type="spellEnd"/>
      <w:r w:rsidRPr="00944D78">
        <w:rPr>
          <w:rFonts w:ascii="Times New Roman" w:hAnsi="Times New Roman"/>
          <w:color w:val="000000" w:themeColor="text1"/>
          <w:lang w:val="pt-BR"/>
        </w:rPr>
        <w:t xml:space="preserve"> 29;21:e180021. </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22. </w:t>
      </w:r>
      <w:r w:rsidRPr="00944D78">
        <w:rPr>
          <w:rFonts w:ascii="Times New Roman" w:hAnsi="Times New Roman"/>
          <w:color w:val="000000" w:themeColor="text1"/>
          <w:lang w:val="pt-BR"/>
        </w:rPr>
        <w:tab/>
        <w:t xml:space="preserve">Andrade SS de A, </w:t>
      </w:r>
      <w:proofErr w:type="spellStart"/>
      <w:r w:rsidRPr="00944D78">
        <w:rPr>
          <w:rFonts w:ascii="Times New Roman" w:hAnsi="Times New Roman"/>
          <w:color w:val="000000" w:themeColor="text1"/>
          <w:lang w:val="pt-BR"/>
        </w:rPr>
        <w:t>Stop</w:t>
      </w:r>
      <w:r w:rsidRPr="00944D78">
        <w:rPr>
          <w:rFonts w:ascii="Times New Roman" w:hAnsi="Times New Roman"/>
          <w:color w:val="000000" w:themeColor="text1"/>
          <w:lang w:val="pt-BR"/>
        </w:rPr>
        <w:t>a</w:t>
      </w:r>
      <w:proofErr w:type="spellEnd"/>
      <w:r w:rsidRPr="00944D78">
        <w:rPr>
          <w:rFonts w:ascii="Times New Roman" w:hAnsi="Times New Roman"/>
          <w:color w:val="000000" w:themeColor="text1"/>
          <w:lang w:val="pt-BR"/>
        </w:rPr>
        <w:t xml:space="preserve"> SR, Brito AS, </w:t>
      </w:r>
      <w:proofErr w:type="spellStart"/>
      <w:r w:rsidRPr="00944D78">
        <w:rPr>
          <w:rFonts w:ascii="Times New Roman" w:hAnsi="Times New Roman"/>
          <w:color w:val="000000" w:themeColor="text1"/>
          <w:lang w:val="pt-BR"/>
        </w:rPr>
        <w:t>Chueri</w:t>
      </w:r>
      <w:proofErr w:type="spellEnd"/>
      <w:r w:rsidRPr="00944D78">
        <w:rPr>
          <w:rFonts w:ascii="Times New Roman" w:hAnsi="Times New Roman"/>
          <w:color w:val="000000" w:themeColor="text1"/>
          <w:lang w:val="pt-BR"/>
        </w:rPr>
        <w:t xml:space="preserve"> PS, </w:t>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Malta DC. Prevalência de hipertensão arterial </w:t>
      </w:r>
      <w:proofErr w:type="spellStart"/>
      <w:r w:rsidRPr="00944D78">
        <w:rPr>
          <w:rFonts w:ascii="Times New Roman" w:hAnsi="Times New Roman"/>
          <w:color w:val="000000" w:themeColor="text1"/>
          <w:lang w:val="pt-BR"/>
        </w:rPr>
        <w:t>autorreferida</w:t>
      </w:r>
      <w:proofErr w:type="spellEnd"/>
      <w:r w:rsidRPr="00944D78">
        <w:rPr>
          <w:rFonts w:ascii="Times New Roman" w:hAnsi="Times New Roman"/>
          <w:color w:val="000000" w:themeColor="text1"/>
          <w:lang w:val="pt-BR"/>
        </w:rPr>
        <w:t xml:space="preserve"> na população brasileira: análise da Pesquisa Nacional de Saúde, 2013. </w:t>
      </w:r>
      <w:proofErr w:type="spellStart"/>
      <w:r w:rsidRPr="00944D78">
        <w:rPr>
          <w:rFonts w:ascii="Times New Roman" w:hAnsi="Times New Roman"/>
          <w:color w:val="000000" w:themeColor="text1"/>
          <w:lang w:val="pt-BR"/>
        </w:rPr>
        <w:t>Epidemiol</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Serv</w:t>
      </w:r>
      <w:proofErr w:type="spellEnd"/>
      <w:r w:rsidRPr="00944D78">
        <w:rPr>
          <w:rFonts w:ascii="Times New Roman" w:hAnsi="Times New Roman"/>
          <w:color w:val="000000" w:themeColor="text1"/>
          <w:lang w:val="pt-BR"/>
        </w:rPr>
        <w:t xml:space="preserve"> Saúde. 2015 Jun;24:297–304. </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23. </w:t>
      </w:r>
      <w:r w:rsidRPr="00944D78">
        <w:rPr>
          <w:rFonts w:ascii="Times New Roman" w:hAnsi="Times New Roman"/>
          <w:color w:val="000000" w:themeColor="text1"/>
          <w:lang w:val="pt-BR"/>
        </w:rPr>
        <w:tab/>
      </w:r>
      <w:proofErr w:type="spellStart"/>
      <w:r w:rsidRPr="00944D78">
        <w:rPr>
          <w:rFonts w:ascii="Times New Roman" w:hAnsi="Times New Roman"/>
          <w:color w:val="000000" w:themeColor="text1"/>
          <w:lang w:val="pt-BR"/>
        </w:rPr>
        <w:t>Iser</w:t>
      </w:r>
      <w:proofErr w:type="spellEnd"/>
      <w:r w:rsidRPr="00944D78">
        <w:rPr>
          <w:rFonts w:ascii="Times New Roman" w:hAnsi="Times New Roman"/>
          <w:color w:val="000000" w:themeColor="text1"/>
          <w:lang w:val="pt-BR"/>
        </w:rPr>
        <w:t xml:space="preserve"> BPM, </w:t>
      </w:r>
      <w:proofErr w:type="spellStart"/>
      <w:r w:rsidRPr="00944D78">
        <w:rPr>
          <w:rFonts w:ascii="Times New Roman" w:hAnsi="Times New Roman"/>
          <w:color w:val="000000" w:themeColor="text1"/>
          <w:lang w:val="pt-BR"/>
        </w:rPr>
        <w:t>Stopa</w:t>
      </w:r>
      <w:proofErr w:type="spellEnd"/>
      <w:r w:rsidRPr="00944D78">
        <w:rPr>
          <w:rFonts w:ascii="Times New Roman" w:hAnsi="Times New Roman"/>
          <w:color w:val="000000" w:themeColor="text1"/>
          <w:lang w:val="pt-BR"/>
        </w:rPr>
        <w:t xml:space="preserve"> SR, </w:t>
      </w:r>
      <w:proofErr w:type="spellStart"/>
      <w:r w:rsidRPr="00944D78">
        <w:rPr>
          <w:rFonts w:ascii="Times New Roman" w:hAnsi="Times New Roman"/>
          <w:color w:val="000000" w:themeColor="text1"/>
          <w:lang w:val="pt-BR"/>
        </w:rPr>
        <w:t>Chueiri</w:t>
      </w:r>
      <w:proofErr w:type="spellEnd"/>
      <w:r w:rsidRPr="00944D78">
        <w:rPr>
          <w:rFonts w:ascii="Times New Roman" w:hAnsi="Times New Roman"/>
          <w:color w:val="000000" w:themeColor="text1"/>
          <w:lang w:val="pt-BR"/>
        </w:rPr>
        <w:t xml:space="preserve"> PS, </w:t>
      </w:r>
      <w:proofErr w:type="spellStart"/>
      <w:r w:rsidRPr="00944D78">
        <w:rPr>
          <w:rFonts w:ascii="Times New Roman" w:hAnsi="Times New Roman"/>
          <w:color w:val="000000" w:themeColor="text1"/>
          <w:lang w:val="pt-BR"/>
        </w:rPr>
        <w:t>Szw</w:t>
      </w:r>
      <w:r w:rsidRPr="00944D78">
        <w:rPr>
          <w:rFonts w:ascii="Times New Roman" w:hAnsi="Times New Roman"/>
          <w:color w:val="000000" w:themeColor="text1"/>
          <w:lang w:val="pt-BR"/>
        </w:rPr>
        <w:t>arcwald</w:t>
      </w:r>
      <w:proofErr w:type="spellEnd"/>
      <w:r w:rsidRPr="00944D78">
        <w:rPr>
          <w:rFonts w:ascii="Times New Roman" w:hAnsi="Times New Roman"/>
          <w:color w:val="000000" w:themeColor="text1"/>
          <w:lang w:val="pt-BR"/>
        </w:rPr>
        <w:t xml:space="preserve"> CL, Malta DC, Monteiro HO da C, et al. Prevalência de diabetes </w:t>
      </w:r>
      <w:proofErr w:type="spellStart"/>
      <w:r w:rsidRPr="00944D78">
        <w:rPr>
          <w:rFonts w:ascii="Times New Roman" w:hAnsi="Times New Roman"/>
          <w:color w:val="000000" w:themeColor="text1"/>
          <w:lang w:val="pt-BR"/>
        </w:rPr>
        <w:t>autorreferido</w:t>
      </w:r>
      <w:proofErr w:type="spellEnd"/>
      <w:r w:rsidRPr="00944D78">
        <w:rPr>
          <w:rFonts w:ascii="Times New Roman" w:hAnsi="Times New Roman"/>
          <w:color w:val="000000" w:themeColor="text1"/>
          <w:lang w:val="pt-BR"/>
        </w:rPr>
        <w:t xml:space="preserve"> no Brasil: resultados da Pesquisa Nacional de Saúde 2013. </w:t>
      </w:r>
      <w:proofErr w:type="spellStart"/>
      <w:r w:rsidRPr="00944D78">
        <w:rPr>
          <w:rFonts w:ascii="Times New Roman" w:hAnsi="Times New Roman"/>
          <w:color w:val="000000" w:themeColor="text1"/>
          <w:lang w:val="pt-BR"/>
        </w:rPr>
        <w:t>Epidemiol</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Serv</w:t>
      </w:r>
      <w:proofErr w:type="spellEnd"/>
      <w:r w:rsidRPr="00944D78">
        <w:rPr>
          <w:rFonts w:ascii="Times New Roman" w:hAnsi="Times New Roman"/>
          <w:color w:val="000000" w:themeColor="text1"/>
          <w:lang w:val="pt-BR"/>
        </w:rPr>
        <w:t xml:space="preserve"> Saúde. 2015 Jun;24:305–14. </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24. </w:t>
      </w:r>
      <w:r w:rsidRPr="00944D78">
        <w:rPr>
          <w:rFonts w:ascii="Times New Roman" w:hAnsi="Times New Roman"/>
          <w:color w:val="000000" w:themeColor="text1"/>
          <w:lang w:val="pt-BR"/>
        </w:rPr>
        <w:tab/>
      </w:r>
      <w:proofErr w:type="spellStart"/>
      <w:r w:rsidRPr="00944D78">
        <w:rPr>
          <w:rFonts w:ascii="Times New Roman" w:hAnsi="Times New Roman"/>
          <w:color w:val="000000" w:themeColor="text1"/>
          <w:lang w:val="pt-BR"/>
        </w:rPr>
        <w:t>Iser</w:t>
      </w:r>
      <w:proofErr w:type="spellEnd"/>
      <w:r w:rsidRPr="00944D78">
        <w:rPr>
          <w:rFonts w:ascii="Times New Roman" w:hAnsi="Times New Roman"/>
          <w:color w:val="000000" w:themeColor="text1"/>
          <w:lang w:val="pt-BR"/>
        </w:rPr>
        <w:t xml:space="preserve"> BPM, Malta DC, Duncan BB, de Moura L, Vigo Á, Schmidt MI. </w:t>
      </w:r>
      <w:r w:rsidRPr="00944D78">
        <w:rPr>
          <w:rFonts w:ascii="Times New Roman" w:hAnsi="Times New Roman"/>
          <w:color w:val="000000" w:themeColor="text1"/>
        </w:rPr>
        <w:t>Pr</w:t>
      </w:r>
      <w:r w:rsidRPr="00944D78">
        <w:rPr>
          <w:rFonts w:ascii="Times New Roman" w:hAnsi="Times New Roman"/>
          <w:color w:val="000000" w:themeColor="text1"/>
        </w:rPr>
        <w:t xml:space="preserve">evalence, Correlates, and Description of Self-Reported Diabetes in Brazilian Capitals – Results from a Telephone Survey. </w:t>
      </w:r>
      <w:proofErr w:type="spellStart"/>
      <w:r w:rsidRPr="00944D78">
        <w:rPr>
          <w:rFonts w:ascii="Times New Roman" w:hAnsi="Times New Roman"/>
          <w:color w:val="000000" w:themeColor="text1"/>
        </w:rPr>
        <w:t>PLoS</w:t>
      </w:r>
      <w:proofErr w:type="spellEnd"/>
      <w:r w:rsidRPr="00944D78">
        <w:rPr>
          <w:rFonts w:ascii="Times New Roman" w:hAnsi="Times New Roman"/>
          <w:color w:val="000000" w:themeColor="text1"/>
        </w:rPr>
        <w:t xml:space="preserve"> One [Internet]. 2014 Sep 25 [cited 2020 Apr 26];9(9). Available from: https://www.ncbi.nlm.nih.gov/pmc/articles/PMC4177870/</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25. </w:t>
      </w:r>
      <w:r w:rsidRPr="00944D78">
        <w:rPr>
          <w:rFonts w:ascii="Times New Roman" w:hAnsi="Times New Roman"/>
          <w:color w:val="000000" w:themeColor="text1"/>
          <w:lang w:val="pt-BR"/>
        </w:rPr>
        <w:tab/>
        <w:t>F</w:t>
      </w:r>
      <w:r w:rsidRPr="00944D78">
        <w:rPr>
          <w:rFonts w:ascii="Times New Roman" w:hAnsi="Times New Roman"/>
          <w:color w:val="000000" w:themeColor="text1"/>
          <w:lang w:val="pt-BR"/>
        </w:rPr>
        <w:t xml:space="preserve">reitas ARR, </w:t>
      </w:r>
      <w:proofErr w:type="spellStart"/>
      <w:r w:rsidRPr="00944D78">
        <w:rPr>
          <w:rFonts w:ascii="Times New Roman" w:hAnsi="Times New Roman"/>
          <w:color w:val="000000" w:themeColor="text1"/>
          <w:lang w:val="pt-BR"/>
        </w:rPr>
        <w:t>Napimoga</w:t>
      </w:r>
      <w:proofErr w:type="spellEnd"/>
      <w:r w:rsidRPr="00944D78">
        <w:rPr>
          <w:rFonts w:ascii="Times New Roman" w:hAnsi="Times New Roman"/>
          <w:color w:val="000000" w:themeColor="text1"/>
          <w:lang w:val="pt-BR"/>
        </w:rPr>
        <w:t xml:space="preserve"> M, </w:t>
      </w:r>
      <w:proofErr w:type="spellStart"/>
      <w:r w:rsidRPr="00944D78">
        <w:rPr>
          <w:rFonts w:ascii="Times New Roman" w:hAnsi="Times New Roman"/>
          <w:color w:val="000000" w:themeColor="text1"/>
          <w:lang w:val="pt-BR"/>
        </w:rPr>
        <w:t>Donalisio</w:t>
      </w:r>
      <w:proofErr w:type="spellEnd"/>
      <w:r w:rsidRPr="00944D78">
        <w:rPr>
          <w:rFonts w:ascii="Times New Roman" w:hAnsi="Times New Roman"/>
          <w:color w:val="000000" w:themeColor="text1"/>
          <w:lang w:val="pt-BR"/>
        </w:rPr>
        <w:t xml:space="preserve"> MR, Freitas ARR, </w:t>
      </w:r>
      <w:proofErr w:type="spellStart"/>
      <w:r w:rsidRPr="00944D78">
        <w:rPr>
          <w:rFonts w:ascii="Times New Roman" w:hAnsi="Times New Roman"/>
          <w:color w:val="000000" w:themeColor="text1"/>
          <w:lang w:val="pt-BR"/>
        </w:rPr>
        <w:t>Napimoga</w:t>
      </w:r>
      <w:proofErr w:type="spellEnd"/>
      <w:r w:rsidRPr="00944D78">
        <w:rPr>
          <w:rFonts w:ascii="Times New Roman" w:hAnsi="Times New Roman"/>
          <w:color w:val="000000" w:themeColor="text1"/>
          <w:lang w:val="pt-BR"/>
        </w:rPr>
        <w:t xml:space="preserve"> M, </w:t>
      </w:r>
      <w:proofErr w:type="spellStart"/>
      <w:r w:rsidRPr="00944D78">
        <w:rPr>
          <w:rFonts w:ascii="Times New Roman" w:hAnsi="Times New Roman"/>
          <w:color w:val="000000" w:themeColor="text1"/>
          <w:lang w:val="pt-BR"/>
        </w:rPr>
        <w:t>Donalisio</w:t>
      </w:r>
      <w:proofErr w:type="spellEnd"/>
      <w:r w:rsidRPr="00944D78">
        <w:rPr>
          <w:rFonts w:ascii="Times New Roman" w:hAnsi="Times New Roman"/>
          <w:color w:val="000000" w:themeColor="text1"/>
          <w:lang w:val="pt-BR"/>
        </w:rPr>
        <w:t xml:space="preserve"> MR. Análise da gravidade da pandemia de Covid-19. Epidemiologia e Serviços de Saúde [Internet]. </w:t>
      </w:r>
      <w:r w:rsidRPr="00944D78">
        <w:rPr>
          <w:rFonts w:ascii="Times New Roman" w:hAnsi="Times New Roman"/>
          <w:color w:val="000000" w:themeColor="text1"/>
        </w:rPr>
        <w:t>2020 [cited 2020 Apr 28];29(2). Available from: http://www.scielo.br/scielo.php?script=</w:t>
      </w:r>
      <w:r w:rsidRPr="00944D78">
        <w:rPr>
          <w:rFonts w:ascii="Times New Roman" w:hAnsi="Times New Roman"/>
          <w:color w:val="000000" w:themeColor="text1"/>
        </w:rPr>
        <w:t>sci_abstract&amp;pid=S2237-96222020000200900&amp;lng=en&amp;nrm=iso&amp;tlng=pt</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26. </w:t>
      </w:r>
      <w:r w:rsidRPr="00944D78">
        <w:rPr>
          <w:rFonts w:ascii="Times New Roman" w:hAnsi="Times New Roman"/>
          <w:color w:val="000000" w:themeColor="text1"/>
          <w:lang w:val="pt-BR"/>
        </w:rPr>
        <w:tab/>
        <w:t xml:space="preserve">IBGE. Pesquisa Nacional de Saúde [Internet]. Instituto Brasileiro de Geografia e Estatística; 2013. </w:t>
      </w:r>
      <w:r w:rsidRPr="00944D78">
        <w:rPr>
          <w:rFonts w:ascii="Times New Roman" w:hAnsi="Times New Roman"/>
          <w:color w:val="000000" w:themeColor="text1"/>
        </w:rPr>
        <w:t>Available from: https://www.ibge.gov.br/estatisticas/sociais/saude/9160-pesquisa-nacion</w:t>
      </w:r>
      <w:r w:rsidRPr="00944D78">
        <w:rPr>
          <w:rFonts w:ascii="Times New Roman" w:hAnsi="Times New Roman"/>
          <w:color w:val="000000" w:themeColor="text1"/>
        </w:rPr>
        <w:t>al-de-saude.html</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27. </w:t>
      </w:r>
      <w:r w:rsidRPr="00944D78">
        <w:rPr>
          <w:rFonts w:ascii="Times New Roman" w:hAnsi="Times New Roman"/>
          <w:color w:val="000000" w:themeColor="text1"/>
          <w:lang w:val="pt-BR"/>
        </w:rPr>
        <w:tab/>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Malta DC, Pereira CA, Vieira MLFP, Conde WL, Souza Junior PRB de, et al. Pesquisa Nacional de Saúde no Brasil: concepção e metodologia de </w:t>
      </w:r>
      <w:proofErr w:type="spellStart"/>
      <w:r w:rsidRPr="00944D78">
        <w:rPr>
          <w:rFonts w:ascii="Times New Roman" w:hAnsi="Times New Roman"/>
          <w:color w:val="000000" w:themeColor="text1"/>
          <w:lang w:val="pt-BR"/>
        </w:rPr>
        <w:t>aplicacão</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Ciênc</w:t>
      </w:r>
      <w:proofErr w:type="spellEnd"/>
      <w:r w:rsidRPr="00944D78">
        <w:rPr>
          <w:rFonts w:ascii="Times New Roman" w:hAnsi="Times New Roman"/>
          <w:color w:val="000000" w:themeColor="text1"/>
          <w:lang w:val="pt-BR"/>
        </w:rPr>
        <w:t xml:space="preserve"> saúde coletiva. 2014 Feb;19:333–42. </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28. </w:t>
      </w:r>
      <w:r w:rsidRPr="00944D78">
        <w:rPr>
          <w:rFonts w:ascii="Times New Roman" w:hAnsi="Times New Roman"/>
          <w:color w:val="000000" w:themeColor="text1"/>
          <w:lang w:val="pt-BR"/>
        </w:rPr>
        <w:tab/>
        <w:t>IBGE. Pesquisa Naciona</w:t>
      </w:r>
      <w:r w:rsidRPr="00944D78">
        <w:rPr>
          <w:rFonts w:ascii="Times New Roman" w:hAnsi="Times New Roman"/>
          <w:color w:val="000000" w:themeColor="text1"/>
          <w:lang w:val="pt-BR"/>
        </w:rPr>
        <w:t xml:space="preserve">l de Saúde 2013: percepção do estado de saúde, estilos de vida e doenças crônicas [Internet]. Rio de Janeiro: IBGE; 2014. </w:t>
      </w:r>
      <w:proofErr w:type="spellStart"/>
      <w:r w:rsidRPr="00944D78">
        <w:rPr>
          <w:rFonts w:ascii="Times New Roman" w:hAnsi="Times New Roman"/>
          <w:color w:val="000000" w:themeColor="text1"/>
          <w:lang w:val="pt-BR"/>
        </w:rPr>
        <w:t>Available</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from</w:t>
      </w:r>
      <w:proofErr w:type="spellEnd"/>
      <w:r w:rsidRPr="00944D78">
        <w:rPr>
          <w:rFonts w:ascii="Times New Roman" w:hAnsi="Times New Roman"/>
          <w:color w:val="000000" w:themeColor="text1"/>
          <w:lang w:val="pt-BR"/>
        </w:rPr>
        <w:t>: https://biblioteca.ibge.gov.br/visualizacao/livros/liv91110.pdf</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29. </w:t>
      </w:r>
      <w:r w:rsidRPr="00944D78">
        <w:rPr>
          <w:rFonts w:ascii="Times New Roman" w:hAnsi="Times New Roman"/>
          <w:color w:val="000000" w:themeColor="text1"/>
        </w:rPr>
        <w:tab/>
        <w:t xml:space="preserve">Wu C, Chen X, Cai Y, Xia J, Zhou X, Xu S, et al. </w:t>
      </w:r>
      <w:r w:rsidRPr="00944D78">
        <w:rPr>
          <w:rFonts w:ascii="Times New Roman" w:hAnsi="Times New Roman"/>
          <w:color w:val="000000" w:themeColor="text1"/>
        </w:rPr>
        <w:t>Risk Factors Associated With Acute Respiratory Distress Syndrome and Death in Patients With Coronavirus Disease 2019 Pneumonia in Wuhan, China. JAMA Intern Med [Internet]. 2020 Mar 13 [cited 2020 May 8]; Available from: https://jamanetwork.com/journals/jam</w:t>
      </w:r>
      <w:r w:rsidRPr="00944D78">
        <w:rPr>
          <w:rFonts w:ascii="Times New Roman" w:hAnsi="Times New Roman"/>
          <w:color w:val="000000" w:themeColor="text1"/>
        </w:rPr>
        <w:t>ainternalmedicine/fullarticle/2763184</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30. </w:t>
      </w:r>
      <w:r w:rsidRPr="00944D78">
        <w:rPr>
          <w:rFonts w:ascii="Times New Roman" w:hAnsi="Times New Roman"/>
          <w:color w:val="000000" w:themeColor="text1"/>
        </w:rPr>
        <w:tab/>
        <w:t xml:space="preserve">COVID-19 Surveillance Group. Characteristics of COVID-19 patients dying in Italy: report based on available data on March 20th, 2020. [Internet]. Rome, Italy: Instituto </w:t>
      </w:r>
      <w:proofErr w:type="spellStart"/>
      <w:r w:rsidRPr="00944D78">
        <w:rPr>
          <w:rFonts w:ascii="Times New Roman" w:hAnsi="Times New Roman"/>
          <w:color w:val="000000" w:themeColor="text1"/>
        </w:rPr>
        <w:t>Superiore</w:t>
      </w:r>
      <w:proofErr w:type="spellEnd"/>
      <w:r w:rsidRPr="00944D78">
        <w:rPr>
          <w:rFonts w:ascii="Times New Roman" w:hAnsi="Times New Roman"/>
          <w:color w:val="000000" w:themeColor="text1"/>
        </w:rPr>
        <w:t xml:space="preserve"> Di </w:t>
      </w:r>
      <w:proofErr w:type="spellStart"/>
      <w:r w:rsidRPr="00944D78">
        <w:rPr>
          <w:rFonts w:ascii="Times New Roman" w:hAnsi="Times New Roman"/>
          <w:color w:val="000000" w:themeColor="text1"/>
        </w:rPr>
        <w:t>Sanita</w:t>
      </w:r>
      <w:proofErr w:type="spellEnd"/>
      <w:r w:rsidRPr="00944D78">
        <w:rPr>
          <w:rFonts w:ascii="Times New Roman" w:hAnsi="Times New Roman"/>
          <w:color w:val="000000" w:themeColor="text1"/>
        </w:rPr>
        <w:t>; 2020. Available from: h</w:t>
      </w:r>
      <w:r w:rsidRPr="00944D78">
        <w:rPr>
          <w:rFonts w:ascii="Times New Roman" w:hAnsi="Times New Roman"/>
          <w:color w:val="000000" w:themeColor="text1"/>
        </w:rPr>
        <w:t>ttps://www.epicentro.iss.it/coronavirus/bollettino/Report-COVID-2019_20_marzo_eng.pdf</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lastRenderedPageBreak/>
        <w:t xml:space="preserve">31. </w:t>
      </w:r>
      <w:r w:rsidRPr="00944D78">
        <w:rPr>
          <w:rFonts w:ascii="Times New Roman" w:hAnsi="Times New Roman"/>
          <w:color w:val="000000" w:themeColor="text1"/>
        </w:rPr>
        <w:tab/>
        <w:t xml:space="preserve">Chow N, Fleming-Dutra K, </w:t>
      </w:r>
      <w:proofErr w:type="spellStart"/>
      <w:r w:rsidRPr="00944D78">
        <w:rPr>
          <w:rFonts w:ascii="Times New Roman" w:hAnsi="Times New Roman"/>
          <w:color w:val="000000" w:themeColor="text1"/>
        </w:rPr>
        <w:t>Gierke</w:t>
      </w:r>
      <w:proofErr w:type="spellEnd"/>
      <w:r w:rsidRPr="00944D78">
        <w:rPr>
          <w:rFonts w:ascii="Times New Roman" w:hAnsi="Times New Roman"/>
          <w:color w:val="000000" w:themeColor="text1"/>
        </w:rPr>
        <w:t xml:space="preserve"> R, Hall A, Hughes M, </w:t>
      </w:r>
      <w:proofErr w:type="spellStart"/>
      <w:r w:rsidRPr="00944D78">
        <w:rPr>
          <w:rFonts w:ascii="Times New Roman" w:hAnsi="Times New Roman"/>
          <w:color w:val="000000" w:themeColor="text1"/>
        </w:rPr>
        <w:t>Pilishvili</w:t>
      </w:r>
      <w:proofErr w:type="spellEnd"/>
      <w:r w:rsidRPr="00944D78">
        <w:rPr>
          <w:rFonts w:ascii="Times New Roman" w:hAnsi="Times New Roman"/>
          <w:color w:val="000000" w:themeColor="text1"/>
        </w:rPr>
        <w:t xml:space="preserve"> T, et al. Preliminary Estimates of the Prevalence of Selected Underlying Health Conditions Among Pati</w:t>
      </w:r>
      <w:r w:rsidRPr="00944D78">
        <w:rPr>
          <w:rFonts w:ascii="Times New Roman" w:hAnsi="Times New Roman"/>
          <w:color w:val="000000" w:themeColor="text1"/>
        </w:rPr>
        <w:t xml:space="preserve">ents with Coronavirus Disease 2019 — United States, February 12–March 28, 2020. MMWR </w:t>
      </w:r>
      <w:proofErr w:type="spellStart"/>
      <w:r w:rsidRPr="00944D78">
        <w:rPr>
          <w:rFonts w:ascii="Times New Roman" w:hAnsi="Times New Roman"/>
          <w:color w:val="000000" w:themeColor="text1"/>
        </w:rPr>
        <w:t>Morb</w:t>
      </w:r>
      <w:proofErr w:type="spellEnd"/>
      <w:r w:rsidRPr="00944D78">
        <w:rPr>
          <w:rFonts w:ascii="Times New Roman" w:hAnsi="Times New Roman"/>
          <w:color w:val="000000" w:themeColor="text1"/>
        </w:rPr>
        <w:t xml:space="preserve"> Mortal </w:t>
      </w:r>
      <w:proofErr w:type="spellStart"/>
      <w:r w:rsidRPr="00944D78">
        <w:rPr>
          <w:rFonts w:ascii="Times New Roman" w:hAnsi="Times New Roman"/>
          <w:color w:val="000000" w:themeColor="text1"/>
        </w:rPr>
        <w:t>Wkly</w:t>
      </w:r>
      <w:proofErr w:type="spellEnd"/>
      <w:r w:rsidRPr="00944D78">
        <w:rPr>
          <w:rFonts w:ascii="Times New Roman" w:hAnsi="Times New Roman"/>
          <w:color w:val="000000" w:themeColor="text1"/>
        </w:rPr>
        <w:t xml:space="preserve"> Rep. 2020 Apr 3;69(13):382–6. </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32. </w:t>
      </w:r>
      <w:r w:rsidRPr="00944D78">
        <w:rPr>
          <w:rFonts w:ascii="Times New Roman" w:hAnsi="Times New Roman"/>
          <w:color w:val="000000" w:themeColor="text1"/>
        </w:rPr>
        <w:tab/>
        <w:t xml:space="preserve">Jewell NP. Statistics for epidemiology. CRC Press; 2003. </w:t>
      </w:r>
    </w:p>
    <w:p w:rsidR="00B601FA" w:rsidRPr="00944D78" w:rsidRDefault="004E3D9B">
      <w:pPr>
        <w:pStyle w:val="Bibliography"/>
        <w:rPr>
          <w:color w:val="000000" w:themeColor="text1"/>
          <w:lang w:val="pt-BR"/>
        </w:rPr>
      </w:pPr>
      <w:r w:rsidRPr="00944D78">
        <w:rPr>
          <w:rFonts w:ascii="Times New Roman" w:hAnsi="Times New Roman"/>
          <w:color w:val="000000" w:themeColor="text1"/>
        </w:rPr>
        <w:t xml:space="preserve">33. </w:t>
      </w:r>
      <w:r w:rsidRPr="00944D78">
        <w:rPr>
          <w:rFonts w:ascii="Times New Roman" w:hAnsi="Times New Roman"/>
          <w:color w:val="000000" w:themeColor="text1"/>
        </w:rPr>
        <w:tab/>
        <w:t>McFadden D. Conditional logit analysis of qualitative c</w:t>
      </w:r>
      <w:r w:rsidRPr="00944D78">
        <w:rPr>
          <w:rFonts w:ascii="Times New Roman" w:hAnsi="Times New Roman"/>
          <w:color w:val="000000" w:themeColor="text1"/>
        </w:rPr>
        <w:t xml:space="preserve">hoice behavior. </w:t>
      </w:r>
      <w:r w:rsidRPr="00944D78">
        <w:rPr>
          <w:rFonts w:ascii="Times New Roman" w:hAnsi="Times New Roman"/>
          <w:color w:val="000000" w:themeColor="text1"/>
          <w:lang w:val="pt-BR"/>
        </w:rPr>
        <w:t xml:space="preserve">1973; </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34. </w:t>
      </w:r>
      <w:r w:rsidRPr="00944D78">
        <w:rPr>
          <w:rFonts w:ascii="Times New Roman" w:hAnsi="Times New Roman"/>
          <w:color w:val="000000" w:themeColor="text1"/>
          <w:lang w:val="pt-BR"/>
        </w:rPr>
        <w:tab/>
        <w:t xml:space="preserve">Moura L de, Andrade SSC de A, Malta DC, Pereira CA, Passos JEF. Prevalência de </w:t>
      </w:r>
      <w:proofErr w:type="spellStart"/>
      <w:r w:rsidRPr="00944D78">
        <w:rPr>
          <w:rFonts w:ascii="Times New Roman" w:hAnsi="Times New Roman"/>
          <w:color w:val="000000" w:themeColor="text1"/>
          <w:lang w:val="pt-BR"/>
        </w:rPr>
        <w:t>autorrelato</w:t>
      </w:r>
      <w:proofErr w:type="spellEnd"/>
      <w:r w:rsidRPr="00944D78">
        <w:rPr>
          <w:rFonts w:ascii="Times New Roman" w:hAnsi="Times New Roman"/>
          <w:color w:val="000000" w:themeColor="text1"/>
          <w:lang w:val="pt-BR"/>
        </w:rPr>
        <w:t xml:space="preserve"> de diagnóstico médico de doença renal crônica no Brasil: Pesquisa Nacional de Saúde, 2013. </w:t>
      </w:r>
      <w:proofErr w:type="spellStart"/>
      <w:r w:rsidRPr="00944D78">
        <w:rPr>
          <w:rFonts w:ascii="Times New Roman" w:hAnsi="Times New Roman"/>
          <w:color w:val="000000" w:themeColor="text1"/>
          <w:lang w:val="pt-BR"/>
        </w:rPr>
        <w:t>Rev</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bras</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epidemiol</w:t>
      </w:r>
      <w:proofErr w:type="spellEnd"/>
      <w:r w:rsidRPr="00944D78">
        <w:rPr>
          <w:rFonts w:ascii="Times New Roman" w:hAnsi="Times New Roman"/>
          <w:color w:val="000000" w:themeColor="text1"/>
          <w:lang w:val="pt-BR"/>
        </w:rPr>
        <w:t xml:space="preserve">. 2015 Dec;18:181–91. </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35. </w:t>
      </w:r>
      <w:r w:rsidRPr="00944D78">
        <w:rPr>
          <w:rFonts w:ascii="Times New Roman" w:hAnsi="Times New Roman"/>
          <w:color w:val="000000" w:themeColor="text1"/>
          <w:lang w:val="pt-BR"/>
        </w:rPr>
        <w:tab/>
      </w:r>
      <w:r w:rsidRPr="00944D78">
        <w:rPr>
          <w:rFonts w:ascii="Times New Roman" w:hAnsi="Times New Roman"/>
          <w:color w:val="000000" w:themeColor="text1"/>
          <w:lang w:val="pt-BR"/>
        </w:rPr>
        <w:t xml:space="preserve">Menezes AMB, </w:t>
      </w:r>
      <w:proofErr w:type="spellStart"/>
      <w:r w:rsidRPr="00944D78">
        <w:rPr>
          <w:rFonts w:ascii="Times New Roman" w:hAnsi="Times New Roman"/>
          <w:color w:val="000000" w:themeColor="text1"/>
          <w:lang w:val="pt-BR"/>
        </w:rPr>
        <w:t>Wehrmeister</w:t>
      </w:r>
      <w:proofErr w:type="spellEnd"/>
      <w:r w:rsidRPr="00944D78">
        <w:rPr>
          <w:rFonts w:ascii="Times New Roman" w:hAnsi="Times New Roman"/>
          <w:color w:val="000000" w:themeColor="text1"/>
          <w:lang w:val="pt-BR"/>
        </w:rPr>
        <w:t xml:space="preserve"> FC, Horta B, </w:t>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Vieira ML, Malta DC. Prevalência de diagnóstico médico de asma em adultos brasileiros: Pesquisa Nacional de Saúde, 2013. </w:t>
      </w:r>
      <w:r w:rsidRPr="00944D78">
        <w:rPr>
          <w:rFonts w:ascii="Times New Roman" w:hAnsi="Times New Roman"/>
          <w:color w:val="000000" w:themeColor="text1"/>
        </w:rPr>
        <w:t xml:space="preserve">Rev bras </w:t>
      </w:r>
      <w:proofErr w:type="spellStart"/>
      <w:r w:rsidRPr="00944D78">
        <w:rPr>
          <w:rFonts w:ascii="Times New Roman" w:hAnsi="Times New Roman"/>
          <w:color w:val="000000" w:themeColor="text1"/>
        </w:rPr>
        <w:t>epidemiol</w:t>
      </w:r>
      <w:proofErr w:type="spellEnd"/>
      <w:r w:rsidRPr="00944D78">
        <w:rPr>
          <w:rFonts w:ascii="Times New Roman" w:hAnsi="Times New Roman"/>
          <w:color w:val="000000" w:themeColor="text1"/>
        </w:rPr>
        <w:t xml:space="preserve">. 2015 Dec;18:204–13. </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36. </w:t>
      </w:r>
      <w:r w:rsidRPr="00944D78">
        <w:rPr>
          <w:rFonts w:ascii="Times New Roman" w:hAnsi="Times New Roman"/>
          <w:color w:val="000000" w:themeColor="text1"/>
        </w:rPr>
        <w:tab/>
        <w:t xml:space="preserve">Alves RFS, </w:t>
      </w:r>
      <w:proofErr w:type="spellStart"/>
      <w:r w:rsidRPr="00944D78">
        <w:rPr>
          <w:rFonts w:ascii="Times New Roman" w:hAnsi="Times New Roman"/>
          <w:color w:val="000000" w:themeColor="text1"/>
        </w:rPr>
        <w:t>Faerstein</w:t>
      </w:r>
      <w:proofErr w:type="spellEnd"/>
      <w:r w:rsidRPr="00944D78">
        <w:rPr>
          <w:rFonts w:ascii="Times New Roman" w:hAnsi="Times New Roman"/>
          <w:color w:val="000000" w:themeColor="text1"/>
        </w:rPr>
        <w:t xml:space="preserve"> E. Educational </w:t>
      </w:r>
      <w:r w:rsidRPr="00944D78">
        <w:rPr>
          <w:rFonts w:ascii="Times New Roman" w:hAnsi="Times New Roman"/>
          <w:color w:val="000000" w:themeColor="text1"/>
        </w:rPr>
        <w:t xml:space="preserve">inequalities in hypertension: complex patterns in intersections with gender and race in Brazil. </w:t>
      </w:r>
      <w:proofErr w:type="spellStart"/>
      <w:r w:rsidRPr="00944D78">
        <w:rPr>
          <w:rFonts w:ascii="Times New Roman" w:hAnsi="Times New Roman"/>
          <w:color w:val="000000" w:themeColor="text1"/>
        </w:rPr>
        <w:t>Int</w:t>
      </w:r>
      <w:proofErr w:type="spellEnd"/>
      <w:r w:rsidRPr="00944D78">
        <w:rPr>
          <w:rFonts w:ascii="Times New Roman" w:hAnsi="Times New Roman"/>
          <w:color w:val="000000" w:themeColor="text1"/>
        </w:rPr>
        <w:t xml:space="preserve"> J Equity Health [Internet]. 2016 Nov 17 [cited 2020 Apr 26];15. Available from: https://www.ncbi.nlm.nih.gov/pmc/articles/PMC5112659/</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37. </w:t>
      </w:r>
      <w:r w:rsidRPr="00944D78">
        <w:rPr>
          <w:rFonts w:ascii="Times New Roman" w:hAnsi="Times New Roman"/>
          <w:color w:val="000000" w:themeColor="text1"/>
          <w:lang w:val="pt-BR"/>
        </w:rPr>
        <w:tab/>
        <w:t>IDF. IDF DIABETES</w:t>
      </w:r>
      <w:r w:rsidRPr="00944D78">
        <w:rPr>
          <w:rFonts w:ascii="Times New Roman" w:hAnsi="Times New Roman"/>
          <w:color w:val="000000" w:themeColor="text1"/>
          <w:lang w:val="pt-BR"/>
        </w:rPr>
        <w:t xml:space="preserve"> ATLAS [Internet]. </w:t>
      </w:r>
      <w:r w:rsidRPr="00944D78">
        <w:rPr>
          <w:rFonts w:ascii="Times New Roman" w:hAnsi="Times New Roman"/>
          <w:color w:val="000000" w:themeColor="text1"/>
        </w:rPr>
        <w:t xml:space="preserve">Brussels, Belgium: International Diabetes Federation,; 2019 [cited 2019 Apr 15]. Report No.: 9th </w:t>
      </w:r>
      <w:proofErr w:type="spellStart"/>
      <w:r w:rsidRPr="00944D78">
        <w:rPr>
          <w:rFonts w:ascii="Times New Roman" w:hAnsi="Times New Roman"/>
          <w:color w:val="000000" w:themeColor="text1"/>
        </w:rPr>
        <w:t>edn</w:t>
      </w:r>
      <w:proofErr w:type="spellEnd"/>
      <w:r w:rsidRPr="00944D78">
        <w:rPr>
          <w:rFonts w:ascii="Times New Roman" w:hAnsi="Times New Roman"/>
          <w:color w:val="000000" w:themeColor="text1"/>
        </w:rPr>
        <w:t>. Available from: https://www.diabetesatlas.org</w:t>
      </w:r>
    </w:p>
    <w:p w:rsidR="00B601FA" w:rsidRPr="00944D78" w:rsidRDefault="00B601FA">
      <w:pPr>
        <w:pStyle w:val="Bibliography"/>
        <w:rPr>
          <w:rFonts w:ascii="Times New Roman" w:hAnsi="Times New Roman"/>
          <w:color w:val="000000" w:themeColor="text1"/>
        </w:rPr>
      </w:pPr>
    </w:p>
    <w:sectPr w:rsidR="00B601FA" w:rsidRPr="00944D78" w:rsidSect="00E656A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D9B" w:rsidRDefault="004E3D9B">
      <w:pPr>
        <w:spacing w:before="0" w:after="0" w:line="240" w:lineRule="auto"/>
      </w:pPr>
      <w:r>
        <w:separator/>
      </w:r>
    </w:p>
  </w:endnote>
  <w:endnote w:type="continuationSeparator" w:id="0">
    <w:p w:rsidR="004E3D9B" w:rsidRDefault="004E3D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D9B" w:rsidRDefault="004E3D9B">
      <w:pPr>
        <w:spacing w:before="0" w:after="0" w:line="240" w:lineRule="auto"/>
      </w:pPr>
      <w:r>
        <w:rPr>
          <w:color w:val="000000"/>
        </w:rPr>
        <w:separator/>
      </w:r>
    </w:p>
  </w:footnote>
  <w:footnote w:type="continuationSeparator" w:id="0">
    <w:p w:rsidR="004E3D9B" w:rsidRDefault="004E3D9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9540F"/>
    <w:multiLevelType w:val="multilevel"/>
    <w:tmpl w:val="06D6B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oNotDisplayPageBoundaries/>
  <w:proofState w:spelling="clean"/>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601FA"/>
    <w:rsid w:val="004E3D9B"/>
    <w:rsid w:val="00944D78"/>
    <w:rsid w:val="00B601FA"/>
    <w:rsid w:val="00E656AC"/>
    <w:rsid w:val="00F0364B"/>
    <w:rsid w:val="00FE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733B"/>
  <w15:docId w15:val="{E61B0DE6-3BB0-1D4E-B04F-9EB12F3D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before="240" w:after="240" w:line="360" w:lineRule="auto"/>
      <w:jc w:val="both"/>
    </w:pPr>
    <w:rPr>
      <w:rFonts w:eastAsia="Times New Roman"/>
      <w:sz w:val="24"/>
      <w:szCs w:val="24"/>
      <w:lang w:eastAsia="pt-BR"/>
    </w:rPr>
  </w:style>
  <w:style w:type="paragraph" w:styleId="Heading2">
    <w:name w:val="heading 2"/>
    <w:basedOn w:val="Normal"/>
    <w:uiPriority w:val="9"/>
    <w:semiHidden/>
    <w:unhideWhenUsed/>
    <w:qFormat/>
    <w:pPr>
      <w:spacing w:before="100" w:after="100" w:line="240" w:lineRule="auto"/>
      <w:jc w:val="left"/>
      <w:outlineLvl w:val="1"/>
    </w:pPr>
    <w:rPr>
      <w:rFonts w:ascii="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pPr>
      <w:tabs>
        <w:tab w:val="left" w:pos="500"/>
      </w:tabs>
      <w:spacing w:line="240" w:lineRule="auto"/>
      <w:ind w:left="504" w:hanging="504"/>
    </w:pPr>
  </w:style>
  <w:style w:type="paragraph" w:styleId="FootnoteText">
    <w:name w:val="footnote text"/>
    <w:basedOn w:val="Normal"/>
    <w:pPr>
      <w:spacing w:after="0" w:line="240" w:lineRule="auto"/>
    </w:pPr>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252"/>
        <w:tab w:val="right" w:pos="8504"/>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252"/>
        <w:tab w:val="right" w:pos="8504"/>
      </w:tabs>
      <w:spacing w:after="0" w:line="240" w:lineRule="auto"/>
    </w:pPr>
  </w:style>
  <w:style w:type="character" w:customStyle="1" w:styleId="FooterChar">
    <w:name w:val="Footer Char"/>
    <w:basedOn w:val="DefaultParagraphFont"/>
  </w:style>
  <w:style w:type="character" w:styleId="Hyperlink">
    <w:name w:val="Hyperlink"/>
    <w:rPr>
      <w:color w:val="0563C1"/>
      <w:u w:val="single"/>
    </w:rPr>
  </w:style>
  <w:style w:type="character" w:customStyle="1" w:styleId="hps">
    <w:name w:val="hps"/>
    <w:basedOn w:val="DefaultParagraphFont"/>
  </w:style>
  <w:style w:type="paragraph" w:styleId="ListParagraph">
    <w:name w:val="List Paragraph"/>
    <w:basedOn w:val="Normal"/>
    <w:pPr>
      <w:ind w:left="720"/>
    </w:pPr>
    <w:rPr>
      <w:b/>
      <w:sz w:val="26"/>
    </w:rPr>
  </w:style>
  <w:style w:type="paragraph" w:styleId="Caption">
    <w:name w:val="caption"/>
    <w:basedOn w:val="Normal"/>
    <w:next w:val="Normal"/>
    <w:pPr>
      <w:spacing w:after="200" w:line="240" w:lineRule="auto"/>
    </w:pPr>
    <w:rPr>
      <w:b/>
      <w:i/>
      <w:iCs/>
      <w:szCs w:val="18"/>
    </w:rPr>
  </w:style>
  <w:style w:type="character" w:styleId="PlaceholderText">
    <w:name w:val="Placeholder Text"/>
    <w:rPr>
      <w:color w:val="808080"/>
    </w:rPr>
  </w:style>
  <w:style w:type="paragraph" w:styleId="NormalWeb">
    <w:name w:val="Normal (Web)"/>
    <w:basedOn w:val="Normal"/>
    <w:pPr>
      <w:spacing w:before="100" w:after="100" w:line="240" w:lineRule="auto"/>
    </w:pPr>
    <w:rPr>
      <w:rFonts w:ascii="Times New Roman" w:hAnsi="Times New Roman"/>
    </w:rPr>
  </w:style>
  <w:style w:type="paragraph" w:styleId="BalloonText">
    <w:name w:val="Balloon Text"/>
    <w:basedOn w:val="Normal"/>
    <w:pPr>
      <w:spacing w:before="0" w:after="0" w:line="240" w:lineRule="auto"/>
    </w:pPr>
    <w:rPr>
      <w:rFonts w:ascii="Tahoma" w:hAnsi="Tahoma" w:cs="Tahoma"/>
      <w:sz w:val="16"/>
      <w:szCs w:val="16"/>
    </w:rPr>
  </w:style>
  <w:style w:type="character" w:customStyle="1" w:styleId="BalloonTextChar">
    <w:name w:val="Balloon Text Char"/>
    <w:rPr>
      <w:rFonts w:ascii="Tahoma" w:eastAsia="Times New Roman" w:hAnsi="Tahoma" w:cs="Tahoma"/>
      <w:sz w:val="16"/>
      <w:szCs w:val="16"/>
      <w:lang w:val="en-US" w:eastAsia="pt-BR"/>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rFonts w:eastAsia="Times New Roman" w:cs="Times New Roman"/>
      <w:sz w:val="20"/>
      <w:szCs w:val="20"/>
      <w:lang w:val="en-US" w:eastAsia="pt-BR"/>
    </w:rPr>
  </w:style>
  <w:style w:type="paragraph" w:styleId="CommentSubject">
    <w:name w:val="annotation subject"/>
    <w:basedOn w:val="CommentText"/>
    <w:next w:val="CommentText"/>
    <w:rPr>
      <w:b/>
      <w:bCs/>
    </w:rPr>
  </w:style>
  <w:style w:type="character" w:customStyle="1" w:styleId="CommentSubjectChar">
    <w:name w:val="Comment Subject Char"/>
    <w:rPr>
      <w:rFonts w:eastAsia="Times New Roman" w:cs="Times New Roman"/>
      <w:b/>
      <w:bCs/>
      <w:sz w:val="20"/>
      <w:szCs w:val="20"/>
      <w:lang w:val="en-US" w:eastAsia="pt-BR"/>
    </w:rPr>
  </w:style>
  <w:style w:type="character" w:customStyle="1" w:styleId="st">
    <w:name w:val="st"/>
    <w:basedOn w:val="DefaultParagraphFont"/>
  </w:style>
  <w:style w:type="character" w:styleId="Emphasis">
    <w:name w:val="Emphasis"/>
    <w:rPr>
      <w:i/>
      <w:iCs/>
    </w:rPr>
  </w:style>
  <w:style w:type="paragraph" w:styleId="Revision">
    <w:name w:val="Revision"/>
    <w:pPr>
      <w:suppressAutoHyphens/>
    </w:pPr>
    <w:rPr>
      <w:rFonts w:eastAsia="Times New Roman"/>
      <w:sz w:val="24"/>
      <w:szCs w:val="24"/>
      <w:lang w:eastAsia="pt-BR"/>
    </w:rPr>
  </w:style>
  <w:style w:type="paragraph" w:styleId="EndnoteText">
    <w:name w:val="endnote text"/>
    <w:basedOn w:val="Normal"/>
    <w:pPr>
      <w:spacing w:before="0" w:after="0" w:line="240" w:lineRule="auto"/>
    </w:pPr>
    <w:rPr>
      <w:sz w:val="20"/>
      <w:szCs w:val="20"/>
    </w:rPr>
  </w:style>
  <w:style w:type="character" w:customStyle="1" w:styleId="EndnoteTextChar">
    <w:name w:val="Endnote Text Char"/>
    <w:rPr>
      <w:rFonts w:eastAsia="Times New Roman" w:cs="Times New Roman"/>
      <w:sz w:val="20"/>
      <w:szCs w:val="20"/>
      <w:lang w:val="en-US" w:eastAsia="pt-BR"/>
    </w:rPr>
  </w:style>
  <w:style w:type="character" w:styleId="EndnoteReference">
    <w:name w:val="endnote reference"/>
    <w:rPr>
      <w:position w:val="0"/>
      <w:vertAlign w:val="superscript"/>
    </w:rPr>
  </w:style>
  <w:style w:type="character" w:customStyle="1" w:styleId="Heading2Char">
    <w:name w:val="Heading 2 Char"/>
    <w:rPr>
      <w:rFonts w:ascii="Times New Roman" w:eastAsia="Times New Roman" w:hAnsi="Times New Roman" w:cs="Times New Roman"/>
      <w:b/>
      <w:bCs/>
      <w:sz w:val="36"/>
      <w:szCs w:val="36"/>
      <w:lang w:val="en-US"/>
    </w:rPr>
  </w:style>
  <w:style w:type="character" w:styleId="LineNumber">
    <w:name w:val="line number"/>
    <w:basedOn w:val="DefaultParagraphFont"/>
  </w:style>
  <w:style w:type="paragraph" w:styleId="DocumentMap">
    <w:name w:val="Document Map"/>
    <w:basedOn w:val="Normal"/>
    <w:pPr>
      <w:spacing w:before="0" w:after="0" w:line="240" w:lineRule="auto"/>
    </w:pPr>
    <w:rPr>
      <w:rFonts w:ascii="Times New Roman" w:hAnsi="Times New Roman"/>
    </w:rPr>
  </w:style>
  <w:style w:type="character" w:customStyle="1" w:styleId="DocumentMapChar">
    <w:name w:val="Document Map Char"/>
    <w:rPr>
      <w:rFonts w:ascii="Times New Roman" w:eastAsia="Times New Roman" w:hAnsi="Times New Roman" w:cs="Times New Roman"/>
      <w:sz w:val="24"/>
      <w:szCs w:val="24"/>
      <w:lang w:val="en-US" w:eastAsia="pt-BR"/>
    </w:rPr>
  </w:style>
  <w:style w:type="character" w:styleId="UnresolvedMention">
    <w:name w:val="Unresolved Mention"/>
    <w:rPr>
      <w:color w:val="605E5C"/>
      <w:shd w:val="clear" w:color="auto" w:fill="E1DFDD"/>
    </w:rPr>
  </w:style>
  <w:style w:type="character" w:styleId="FollowedHyperlink">
    <w:name w:val="FollowedHyperlink"/>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6C126-AD18-DE46-9150-C9061FA2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7047</Words>
  <Characters>40171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Mendes Borges</dc:creator>
  <dc:description/>
  <cp:lastModifiedBy>Gabriel Mendes Borges</cp:lastModifiedBy>
  <cp:revision>4</cp:revision>
  <cp:lastPrinted>2015-09-26T03:07:00Z</cp:lastPrinted>
  <dcterms:created xsi:type="dcterms:W3CDTF">2020-08-15T00:24:00Z</dcterms:created>
  <dcterms:modified xsi:type="dcterms:W3CDTF">2020-08-15T00:43:00Z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id="4f3FbfgM"/&gt;&lt;style id="http://www.zotero.org/styles/vancouver-superscript" locale="en-US" hasBibliography="1" bibliographyStyleHasBeenSet="1"/&gt;&lt;prefs&gt;&lt;pref name="fieldType" value="Field"/&gt;&lt;pref na</vt:lpwstr>
  </property>
  <property fmtid="{D5CDD505-2E9C-101B-9397-08002B2CF9AE}" pid="3" name="ZOTERO_PREF_2">
    <vt:lpwstr>me="dontAskDelayCitationUpdates" value="true"/&gt;&lt;/prefs&gt;&lt;/data&gt;</vt:lpwstr>
  </property>
  <property fmtid="{D5CDD505-2E9C-101B-9397-08002B2CF9AE}" pid="4" name="ZOTERO_BREF_pbXDyedUGZax_1">
    <vt:lpwstr>ZOTERO_ITEM CSL_CITATION {"citationID":"MP6RHRel","properties":{"formattedCitation":"(Omran 1971)","plainCitation":"(Omran 1971)"},"citationItems":[{"id":6,"uris":["http://zotero.org/users/local/ZvnVvjeS/items/UH49DSBX"],"uri":["http://zotero.org/users/lo</vt:lpwstr>
  </property>
  <property fmtid="{D5CDD505-2E9C-101B-9397-08002B2CF9AE}" pid="5" name="ZOTERO_BREF_pbXDyedUGZax_2">
    <vt:lpwstr>cal/ZvnVvjeS/items/UH49DSBX"],"itemData":{"id":6,"type":"article-journal","title":"The Epidemiologic Transition: A Theory of the Epidemiology of Population Change","container-title":"The Milbank Memorial Fund Quarterly","page":"509-538","volume":"49","iss</vt:lpwstr>
  </property>
  <property fmtid="{D5CDD505-2E9C-101B-9397-08002B2CF9AE}" pid="6" name="ZOTERO_BREF_pbXDyedUGZax_3">
    <vt:lpwstr>ue":"4","source":"JSTOR","DOI":"10.2307/3349375","ISSN":"0026-3745","shortTitle":"The Epidemiologic Transition","journalAbbreviation":"The Milbank Memorial Fund Quarterly","author":[{"family":"Omran","given":"Abdel R."}],"issued":{"date-parts":[["1971",10</vt:lpwstr>
  </property>
  <property fmtid="{D5CDD505-2E9C-101B-9397-08002B2CF9AE}" pid="7" name="ZOTERO_BREF_pbXDyedUGZax_4">
    <vt:lpwstr>,1]]},"accessed":{"date-parts":[["2015",2,19]]}}}],"schema":"https://github.com/citation-style-language/schema/raw/master/csl-citation.json"}</vt:lpwstr>
  </property>
  <property fmtid="{D5CDD505-2E9C-101B-9397-08002B2CF9AE}" pid="8" name="ZOTERO_BREF_kNb4eaFEpPRg_1">
    <vt:lpwstr>ZOTERO_ITEM CSL_CITATION {"citationID":"HIg3nqFy","properties":{"formattedCitation":"(Frenk et al. 1991; Omran 1971; Olshansky and Ault 1986)","plainCitation":"(Frenk et al. 1991; Omran 1971; Olshansky and Ault 1986)"},"citationItems":[{"id":11,"uris":["h</vt:lpwstr>
  </property>
  <property fmtid="{D5CDD505-2E9C-101B-9397-08002B2CF9AE}" pid="9" name="ZOTERO_BREF_kNb4eaFEpPRg_2">
    <vt:lpwstr>ttp://zotero.org/users/local/ZvnVvjeS/items/BDHF8JTB"],"uri":["http://zotero.org/users/local/ZvnVvjeS/items/BDHF8JTB"],"itemData":{"id":11,"type":"article-journal","title":"Elements for a theory of the health transition","container-title":"Health Transiti</vt:lpwstr>
  </property>
  <property fmtid="{D5CDD505-2E9C-101B-9397-08002B2CF9AE}" pid="10" name="ZOTERO_BREF_kNb4eaFEpPRg_3">
    <vt:lpwstr>on Review","page":"21-38","volume":"1","issue":"1","source":"JSTOR","abstract":"This article presents the basic elements for developing a theory of the health transition. Such elements include the definition of concepts, the specification of a framework o</vt:lpwstr>
  </property>
  <property fmtid="{D5CDD505-2E9C-101B-9397-08002B2CF9AE}" pid="11" name="ZOTERO_BREF_kNb4eaFEpPRg_4">
    <vt:lpwstr>n the determinants of health status, the analysis of the mechanisms through which health change occurs in populations, the characterization of the attributes that allow us to identify different transition models, and the enumeration of the possible conseq</vt:lpwstr>
  </property>
  <property fmtid="{D5CDD505-2E9C-101B-9397-08002B2CF9AE}" pid="12" name="ZOTERO_BREF_kNb4eaFEpPRg_5">
    <vt:lpwstr>uences of the transition. The propositions are presented with a sufficient level of generality as to make them applicable to different contexts; at the same time, an attempt is made to provide them with the necessary specificity to account for different n</vt:lpwstr>
  </property>
  <property fmtid="{D5CDD505-2E9C-101B-9397-08002B2CF9AE}" pid="13" name="ZOTERO_BREF_kNb4eaFEpPRg_6">
    <vt:lpwstr>ational experiences, thus opening a space for future comparative research efforts. Through the systematization exercise presented in this article, we hope to contribute to the progress of a topic that has grown in importance during recent years. Such impo</vt:lpwstr>
  </property>
  <property fmtid="{D5CDD505-2E9C-101B-9397-08002B2CF9AE}" pid="14" name="ZOTERO_BREF_kNb4eaFEpPRg_7">
    <vt:lpwstr>rtance is due to the enormous potential that health transition theory has for understanding and transforming the growing complexity of our times.","ISSN":"1036-4005","journalAbbreviation":"Health Transition Review","author":[{"family":"Frenk","given":"Jul</vt:lpwstr>
  </property>
  <property fmtid="{D5CDD505-2E9C-101B-9397-08002B2CF9AE}" pid="15" name="ZOTERO_BREF_kNb4eaFEpPRg_8">
    <vt:lpwstr>io"},{"family":"Bobadilla","given":"José Luis"},{"family":"Stern","given":"Claudio"},{"family":"Frejka","given":"Tomas"},{"family":"Lozano","given":"Rafael"}],"issued":{"date-parts":[["1991",4,1]]},"accessed":{"date-parts":[["2015",2,19]]}},"label":"page"</vt:lpwstr>
  </property>
  <property fmtid="{D5CDD505-2E9C-101B-9397-08002B2CF9AE}" pid="16" name="ZOTERO_BREF_kNb4eaFEpPRg_9">
    <vt:lpwstr>},{"id":6,"uris":["http://zotero.org/users/local/ZvnVvjeS/items/UH49DSBX"],"uri":["http://zotero.org/users/local/ZvnVvjeS/items/UH49DSBX"],"itemData":{"id":6,"type":"article-journal","title":"The Epidemiologic Transition: A Theory of the Epidemiology of P</vt:lpwstr>
  </property>
  <property fmtid="{D5CDD505-2E9C-101B-9397-08002B2CF9AE}" pid="17" name="ZOTERO_BREF_kNb4eaFEpPRg_10">
    <vt:lpwstr>opulation Change","container-title":"The Milbank Memorial Fund Quarterly","page":"509-538","volume":"49","issue":"4","source":"JSTOR","DOI":"10.2307/3349375","ISSN":"0026-3745","shortTitle":"The Epidemiologic Transition","journalAbbreviation":"The Milbank</vt:lpwstr>
  </property>
  <property fmtid="{D5CDD505-2E9C-101B-9397-08002B2CF9AE}" pid="18" name="ZOTERO_BREF_kNb4eaFEpPRg_11">
    <vt:lpwstr> Memorial Fund Quarterly","author":[{"family":"Omran","given":"Abdel R."}],"issued":{"date-parts":[["1971",10,1]]},"accessed":{"date-parts":[["2015",2,19]]}},"label":"page"},{"id":9,"uris":["http://zotero.org/users/local/ZvnVvjeS/items/3C4NVD2W"],"uri":["</vt:lpwstr>
  </property>
  <property fmtid="{D5CDD505-2E9C-101B-9397-08002B2CF9AE}" pid="19" name="ZOTERO_BREF_kNb4eaFEpPRg_12">
    <vt:lpwstr>http://zotero.org/users/local/ZvnVvjeS/items/3C4NVD2W"],"itemData":{"id":9,"type":"article-journal","title":"The Fourth Stage of the Epidemiologic Transition: The Age of Delayed Degenerative Diseases","container-title":"The Milbank Quarterly","page":"355-</vt:lpwstr>
  </property>
  <property fmtid="{D5CDD505-2E9C-101B-9397-08002B2CF9AE}" pid="20" name="ZOTERO_BREF_kNb4eaFEpPRg_13">
    <vt:lpwstr>391","volume":"64","issue":"3","source":"JSTOR","abstract":"Gains in longevity in the United States since the midnineteenth century occurred as a result of an epidemiologic transition: deaths from infectious diseases were replaced by deaths from degenerat</vt:lpwstr>
  </property>
  <property fmtid="{D5CDD505-2E9C-101B-9397-08002B2CF9AE}" pid="21" name="ZOTERO_BREF_kNb4eaFEpPRg_14">
    <vt:lpwstr>ive diseases. Recent trends in cause-specific mortality suggest a distinct new stage, one of postponement of degenerative diseases. Projections based on these data must be applied cautiously; their implication for health and social policies are likely to </vt:lpwstr>
  </property>
  <property fmtid="{D5CDD505-2E9C-101B-9397-08002B2CF9AE}" pid="22" name="ZOTERO_BREF_kNb4eaFEpPRg_15">
    <vt:lpwstr>be profound.","DOI":"10.2307/3350025","ISSN":"0887-378X","shortTitle":"The Fourth Stage of the Epidemiologic Transition","journalAbbreviation":"The Milbank Quarterly","author":[{"family":"Olshansky","given":"S. Jay"},{"family":"Ault","given":"A. Brian"}],</vt:lpwstr>
  </property>
  <property fmtid="{D5CDD505-2E9C-101B-9397-08002B2CF9AE}" pid="23" name="ZOTERO_BREF_kNb4eaFEpPRg_16">
    <vt:lpwstr>"issued":{"date-parts":[["1986",1,1]]},"accessed":{"date-parts":[["2015",2,19]]}},"label":"page"}],"schema":"https://github.com/citation-style-language/schema/raw/master/csl-citation.json"}</vt:lpwstr>
  </property>
  <property fmtid="{D5CDD505-2E9C-101B-9397-08002B2CF9AE}" pid="24" name="ZOTERO_BREF_jgRyQwIldpjA_1">
    <vt:lpwstr>ZOTERO_ITEM CSL_CITATION {"citationID":"6etp4rb26","properties":{"formattedCitation":"(Frenk et al. 1991; Omran 1971; Olshansky and Ault 1986)","plainCitation":"(Frenk et al. 1991; Omran 1971; Olshansky and Ault 1986)"},"citationItems":[{"id":11,"uris":["</vt:lpwstr>
  </property>
  <property fmtid="{D5CDD505-2E9C-101B-9397-08002B2CF9AE}" pid="25" name="ZOTERO_BREF_jgRyQwIldpjA_2">
    <vt:lpwstr>http://zotero.org/users/local/ZvnVvjeS/items/BDHF8JTB"],"uri":["http://zotero.org/users/local/ZvnVvjeS/items/BDHF8JTB"],"itemData":{"id":11,"type":"article-journal","title":"Elements for a theory of the health transition","container-title":"Health Transit</vt:lpwstr>
  </property>
  <property fmtid="{D5CDD505-2E9C-101B-9397-08002B2CF9AE}" pid="26" name="ZOTERO_BREF_jgRyQwIldpjA_3">
    <vt:lpwstr>ion Review","page":"21-38","volume":"1","issue":"1","source":"JSTOR","abstract":"This article presents the basic elements for developing a theory of the health transition. Such elements include the definition of concepts, the specification of a framework </vt:lpwstr>
  </property>
  <property fmtid="{D5CDD505-2E9C-101B-9397-08002B2CF9AE}" pid="27" name="ZOTERO_BREF_jgRyQwIldpjA_4">
    <vt:lpwstr>on the determinants of health status, the analysis of the mechanisms through which health change occurs in populations, the characterization of the attributes that allow us to identify different transition models, and the enumeration of the possible conse</vt:lpwstr>
  </property>
  <property fmtid="{D5CDD505-2E9C-101B-9397-08002B2CF9AE}" pid="28" name="ZOTERO_BREF_jgRyQwIldpjA_5">
    <vt:lpwstr>quences of the transition. The propositions are presented with a sufficient level of generality as to make them applicable to different contexts; at the same time, an attempt is made to provide them with the necessary specificity to account for different </vt:lpwstr>
  </property>
  <property fmtid="{D5CDD505-2E9C-101B-9397-08002B2CF9AE}" pid="29" name="ZOTERO_BREF_jgRyQwIldpjA_6">
    <vt:lpwstr>national experiences, thus opening a space for future comparative research efforts. Through the systematization exercise presented in this article, we hope to contribute to the progress of a topic that has grown in importance during recent years. Such imp</vt:lpwstr>
  </property>
  <property fmtid="{D5CDD505-2E9C-101B-9397-08002B2CF9AE}" pid="30" name="ZOTERO_BREF_jgRyQwIldpjA_7">
    <vt:lpwstr>ortance is due to the enormous potential that health transition theory has for understanding and transforming the growing complexity of our times.","ISSN":"1036-4005","journalAbbreviation":"Health Transition Review","author":[{"family":"Frenk","given":"Ju</vt:lpwstr>
  </property>
  <property fmtid="{D5CDD505-2E9C-101B-9397-08002B2CF9AE}" pid="31" name="ZOTERO_BREF_jgRyQwIldpjA_8">
    <vt:lpwstr>lio"},{"family":"Bobadilla","given":"José Luis"},{"family":"Stern","given":"Claudio"},{"family":"Frejka","given":"Tomas"},{"family":"Lozano","given":"Rafael"}],"issued":{"date-parts":[["1991",4,1]]},"accessed":{"date-parts":[["2015",2,19]]}},"label":"page</vt:lpwstr>
  </property>
  <property fmtid="{D5CDD505-2E9C-101B-9397-08002B2CF9AE}" pid="32" name="ZOTERO_BREF_jgRyQwIldpjA_9">
    <vt:lpwstr>"},{"id":6,"uris":["http://zotero.org/users/local/ZvnVvjeS/items/UH49DSBX"],"uri":["http://zotero.org/users/local/ZvnVvjeS/items/UH49DSBX"],"itemData":{"id":6,"type":"article-journal","title":"The Epidemiologic Transition: A Theory of the Epidemiology of </vt:lpwstr>
  </property>
  <property fmtid="{D5CDD505-2E9C-101B-9397-08002B2CF9AE}" pid="33" name="ZOTERO_BREF_jgRyQwIldpjA_10">
    <vt:lpwstr>Population Change","container-title":"The Milbank Memorial Fund Quarterly","page":"509-538","volume":"49","issue":"4","source":"JSTOR","DOI":"10.2307/3349375","ISSN":"0026-3745","shortTitle":"The Epidemiologic Transition","journalAbbreviation":"The Milban</vt:lpwstr>
  </property>
  <property fmtid="{D5CDD505-2E9C-101B-9397-08002B2CF9AE}" pid="34" name="ZOTERO_BREF_jgRyQwIldpjA_11">
    <vt:lpwstr>k Memorial Fund Quarterly","author":[{"family":"Omran","given":"Abdel R."}],"issued":{"date-parts":[["1971",10,1]]},"accessed":{"date-parts":[["2015",2,19]]}},"label":"page"},{"id":9,"uris":["http://zotero.org/users/local/ZvnVvjeS/items/3C4NVD2W"],"uri":[</vt:lpwstr>
  </property>
  <property fmtid="{D5CDD505-2E9C-101B-9397-08002B2CF9AE}" pid="35" name="ZOTERO_BREF_jgRyQwIldpjA_12">
    <vt:lpwstr>"http://zotero.org/users/local/ZvnVvjeS/items/3C4NVD2W"],"itemData":{"id":9,"type":"article-journal","title":"The Fourth Stage of the Epidemiologic Transition: The Age of Delayed Degenerative Diseases","container-title":"The Milbank Quarterly","page":"355</vt:lpwstr>
  </property>
  <property fmtid="{D5CDD505-2E9C-101B-9397-08002B2CF9AE}" pid="36" name="ZOTERO_BREF_jgRyQwIldpjA_13">
    <vt:lpwstr>-391","volume":"64","issue":"3","source":"JSTOR","abstract":"Gains in longevity in the United States since the midnineteenth century occurred as a result of an epidemiologic transition: deaths from infectious diseases were replaced by deaths from degenera</vt:lpwstr>
  </property>
  <property fmtid="{D5CDD505-2E9C-101B-9397-08002B2CF9AE}" pid="37" name="ZOTERO_BREF_jgRyQwIldpjA_14">
    <vt:lpwstr>tive diseases. Recent trends in cause-specific mortality suggest a distinct new stage, one of postponement of degenerative diseases. Projections based on these data must be applied cautiously; their implication for health and social policies are likely to</vt:lpwstr>
  </property>
  <property fmtid="{D5CDD505-2E9C-101B-9397-08002B2CF9AE}" pid="38" name="ZOTERO_BREF_jgRyQwIldpjA_15">
    <vt:lpwstr> be profound.","DOI":"10.2307/3350025","ISSN":"0887-378X","shortTitle":"The Fourth Stage of the Epidemiologic Transition","journalAbbreviation":"The Milbank Quarterly","author":[{"family":"Olshansky","given":"S. Jay"},{"family":"Ault","given":"A. Brian"}]</vt:lpwstr>
  </property>
  <property fmtid="{D5CDD505-2E9C-101B-9397-08002B2CF9AE}" pid="39" name="ZOTERO_BREF_jgRyQwIldpjA_16">
    <vt:lpwstr>,"issued":{"date-parts":[["1986",1,1]]},"accessed":{"date-parts":[["2015",2,19]]}},"label":"section"}],"schema":"https://github.com/citation-style-language/schema/raw/master/csl-citation.json"}</vt:lpwstr>
  </property>
  <property fmtid="{D5CDD505-2E9C-101B-9397-08002B2CF9AE}" pid="40" name="ZOTERO_BREF_FtRan2MeRGTn_1">
    <vt:lpwstr>ZOTERO_BIBL {"custom":[]} CSL_BIBLIOGRAPHY</vt:lpwstr>
  </property>
  <property fmtid="{D5CDD505-2E9C-101B-9397-08002B2CF9AE}" pid="41" name="ZOTERO_BREF_Rz4KcAJJ5hBN_1">
    <vt:lpwstr>ZOTERO_ITEM CSL_CITATION {"citationID":"eZJmyOLi","properties":{"formattedCitation":"(Omran 1971)","plainCitation":"(Omran 1971)"},"citationItems":[{"id":6,"uris":["http://zotero.org/users/local/ZvnVvjeS/items/UH49DSBX"],"uri":["http://zotero.org/users/lo</vt:lpwstr>
  </property>
  <property fmtid="{D5CDD505-2E9C-101B-9397-08002B2CF9AE}" pid="42" name="ZOTERO_BREF_Rz4KcAJJ5hBN_2">
    <vt:lpwstr>cal/ZvnVvjeS/items/UH49DSBX"],"itemData":{"id":6,"type":"article-journal","title":"The Epidemiologic Transition: A Theory of the Epidemiology of Population Change","container-title":"The Milbank Memorial Fund Quarterly","page":"509-538","volume":"49","iss</vt:lpwstr>
  </property>
  <property fmtid="{D5CDD505-2E9C-101B-9397-08002B2CF9AE}" pid="43" name="ZOTERO_BREF_Rz4KcAJJ5hBN_3">
    <vt:lpwstr>ue":"4","source":"JSTOR","DOI":"10.2307/3349375","ISSN":"0026-3745","shortTitle":"The Epidemiologic Transition","journalAbbreviation":"The Milbank Memorial Fund Quarterly","author":[{"family":"Omran","given":"Abdel R."}],"issued":{"date-parts":[["1971",10</vt:lpwstr>
  </property>
  <property fmtid="{D5CDD505-2E9C-101B-9397-08002B2CF9AE}" pid="44" name="ZOTERO_BREF_Rz4KcAJJ5hBN_4">
    <vt:lpwstr>,1]]},"accessed":{"date-parts":[["2015",2,19]]}}}],"schema":"https://github.com/citation-style-language/schema/raw/master/csl-citation.json"}</vt:lpwstr>
  </property>
  <property fmtid="{D5CDD505-2E9C-101B-9397-08002B2CF9AE}" pid="45" name="ZOTERO_BREF_X3TXN3r1d6Eo_1">
    <vt:lpwstr>ZOTERO_ITEM CSL_CITATION {"citationID":"VVuoY4Se","properties":{"formattedCitation":"(Frenk et al. 1991)","plainCitation":"(Frenk et al. 1991)"},"citationItems":[{"id":11,"uris":["http://zotero.org/users/local/ZvnVvjeS/items/BDHF8JTB"],"uri":["http://zote</vt:lpwstr>
  </property>
  <property fmtid="{D5CDD505-2E9C-101B-9397-08002B2CF9AE}" pid="46" name="ZOTERO_BREF_X3TXN3r1d6Eo_2">
    <vt:lpwstr>ro.org/users/local/ZvnVvjeS/items/BDHF8JTB"],"itemData":{"id":11,"type":"article-journal","title":"Elements for a theory of the health transition","container-title":"Health Transition Review","page":"21-38","volume":"1","issue":"1","source":"JSTOR","abstr</vt:lpwstr>
  </property>
  <property fmtid="{D5CDD505-2E9C-101B-9397-08002B2CF9AE}" pid="47" name="ZOTERO_BREF_X3TXN3r1d6Eo_3">
    <vt:lpwstr>act":"This article presents the basic elements for developing a theory of the health transition. Such elements include the definition of concepts, the specification of a framework on the determinants of health status, the analysis of the mechanisms throug</vt:lpwstr>
  </property>
  <property fmtid="{D5CDD505-2E9C-101B-9397-08002B2CF9AE}" pid="48" name="ZOTERO_BREF_X3TXN3r1d6Eo_4">
    <vt:lpwstr>h which health change occurs in populations, the characterization of the attributes that allow us to identify different transition models, and the enumeration of the possible consequences of the transition. The propositions are presented with a sufficient</vt:lpwstr>
  </property>
  <property fmtid="{D5CDD505-2E9C-101B-9397-08002B2CF9AE}" pid="49" name="ZOTERO_BREF_X3TXN3r1d6Eo_5">
    <vt:lpwstr> level of generality as to make them applicable to different contexts; at the same time, an attempt is made to provide them with the necessary specificity to account for different national experiences, thus opening a space for future comparative research </vt:lpwstr>
  </property>
  <property fmtid="{D5CDD505-2E9C-101B-9397-08002B2CF9AE}" pid="50" name="ZOTERO_BREF_X3TXN3r1d6Eo_6">
    <vt:lpwstr>efforts. Through the systematization exercise presented in this article, we hope to contribute to the progress of a topic that has grown in importance during recent years. Such importance is due to the enormous potential that health transition theory has </vt:lpwstr>
  </property>
  <property fmtid="{D5CDD505-2E9C-101B-9397-08002B2CF9AE}" pid="51" name="ZOTERO_BREF_X3TXN3r1d6Eo_7">
    <vt:lpwstr>for understanding and transforming the growing complexity of our times.","ISSN":"1036-4005","journalAbbreviation":"Health Transition Review","author":[{"family":"Frenk","given":"Julio"},{"family":"Bobadilla","given":"José Luis"},{"family":"Stern","given":</vt:lpwstr>
  </property>
  <property fmtid="{D5CDD505-2E9C-101B-9397-08002B2CF9AE}" pid="52" name="ZOTERO_BREF_X3TXN3r1d6Eo_8">
    <vt:lpwstr>"Claudio"},{"family":"Frejka","given":"Tomas"},{"family":"Lozano","given":"Rafael"}],"issued":{"date-parts":[["1991",4,1]]},"accessed":{"date-parts":[["2015",2,19]]}}}],"schema":"https://github.com/citation-style-language/schema/raw/master/csl-citation.js</vt:lpwstr>
  </property>
  <property fmtid="{D5CDD505-2E9C-101B-9397-08002B2CF9AE}" pid="53" name="ZOTERO_BREF_X3TXN3r1d6Eo_9">
    <vt:lpwstr>on"}</vt:lpwstr>
  </property>
  <property fmtid="{D5CDD505-2E9C-101B-9397-08002B2CF9AE}" pid="54" name="ZOTERO_BREF_zTrtOwZJkOP9_1">
    <vt:lpwstr>ZOTERO_BIBL {"custom":[]} CSL_BIBLIOGRAPHY</vt:lpwstr>
  </property>
  <property fmtid="{D5CDD505-2E9C-101B-9397-08002B2CF9AE}" pid="55" name="ZOTERO_BREF_Q2xYQVWBeM2e_1">
    <vt:lpwstr>ZOTERO_ITEM CSL_CITATION {"citationID":"eZJmyOLi","properties":{"formattedCitation":"(Omran 1971)","plainCitation":"(Omran 1971)"},"citationItems":[{"id":6,"uris":["http://zotero.org/users/local/ZvnVvjeS/items/UH49DSBX"],"uri":["http://zotero.org/users/lo</vt:lpwstr>
  </property>
  <property fmtid="{D5CDD505-2E9C-101B-9397-08002B2CF9AE}" pid="56" name="ZOTERO_BREF_Q2xYQVWBeM2e_2">
    <vt:lpwstr>cal/ZvnVvjeS/items/UH49DSBX"],"itemData":{"id":6,"type":"article-journal","title":"The Epidemiologic Transition: A Theory of the Epidemiology of Population Change","container-title":"The Milbank Memorial Fund Quarterly","page":"509-538","volume":"49","iss</vt:lpwstr>
  </property>
  <property fmtid="{D5CDD505-2E9C-101B-9397-08002B2CF9AE}" pid="57" name="ZOTERO_BREF_Q2xYQVWBeM2e_3">
    <vt:lpwstr>ue":"4","source":"JSTOR","DOI":"10.2307/3349375","ISSN":"0026-3745","shortTitle":"The Epidemiologic Transition","journalAbbreviation":"The Milbank Memorial Fund Quarterly","author":[{"family":"Omran","given":"Abdel R."}],"issued":{"date-parts":[["1971",10</vt:lpwstr>
  </property>
  <property fmtid="{D5CDD505-2E9C-101B-9397-08002B2CF9AE}" pid="58" name="ZOTERO_BREF_Q2xYQVWBeM2e_4">
    <vt:lpwstr>,1]]},"accessed":{"date-parts":[["2015",2,19]]}}}],"schema":"https://github.com/citation-style-language/schema/raw/master/csl-citation.json"}</vt:lpwstr>
  </property>
  <property fmtid="{D5CDD505-2E9C-101B-9397-08002B2CF9AE}" pid="59" name="ZOTERO_BREF_YwW0G2VSdbTY_1">
    <vt:lpwstr>ZOTERO_ITEM CSL_CITATION {"citationID":"VVuoY4Se","properties":{"formattedCitation":"(Frenk et al. 1991)","plainCitation":"(Frenk et al. 1991)"},"citationItems":[{"id":11,"uris":["http://zotero.org/users/local/ZvnVvjeS/items/BDHF8JTB"],"uri":["http://zote</vt:lpwstr>
  </property>
  <property fmtid="{D5CDD505-2E9C-101B-9397-08002B2CF9AE}" pid="60" name="ZOTERO_BREF_YwW0G2VSdbTY_2">
    <vt:lpwstr>ro.org/users/local/ZvnVvjeS/items/BDHF8JTB"],"itemData":{"id":11,"type":"article-journal","title":"Elements for a theory of the health transition","container-title":"Health Transition Review","page":"21-38","volume":"1","issue":"1","source":"JSTOR","abstr</vt:lpwstr>
  </property>
  <property fmtid="{D5CDD505-2E9C-101B-9397-08002B2CF9AE}" pid="61" name="ZOTERO_BREF_YwW0G2VSdbTY_3">
    <vt:lpwstr>act":"This article presents the basic elements for developing a theory of the health transition. Such elements include the definition of concepts, the specification of a framework on the determinants of health status, the analysis of the mechanisms throug</vt:lpwstr>
  </property>
  <property fmtid="{D5CDD505-2E9C-101B-9397-08002B2CF9AE}" pid="62" name="ZOTERO_BREF_YwW0G2VSdbTY_4">
    <vt:lpwstr>h which health change occurs in populations, the characterization of the attributes that allow us to identify different transition models, and the enumeration of the possible consequences of the transition. The propositions are presented with a sufficient</vt:lpwstr>
  </property>
  <property fmtid="{D5CDD505-2E9C-101B-9397-08002B2CF9AE}" pid="63" name="ZOTERO_BREF_YwW0G2VSdbTY_5">
    <vt:lpwstr> level of generality as to make them applicable to different contexts; at the same time, an attempt is made to provide them with the necessary specificity to account for different national experiences, thus opening a space for future comparative research </vt:lpwstr>
  </property>
  <property fmtid="{D5CDD505-2E9C-101B-9397-08002B2CF9AE}" pid="64" name="ZOTERO_BREF_YwW0G2VSdbTY_6">
    <vt:lpwstr>efforts. Through the systematization exercise presented in this article, we hope to contribute to the progress of a topic that has grown in importance during recent years. Such importance is due to the enormous potential that health transition theory has </vt:lpwstr>
  </property>
  <property fmtid="{D5CDD505-2E9C-101B-9397-08002B2CF9AE}" pid="65" name="ZOTERO_BREF_YwW0G2VSdbTY_7">
    <vt:lpwstr>for understanding and transforming the growing complexity of our times.","ISSN":"1036-4005","journalAbbreviation":"Health Transition Review","author":[{"family":"Frenk","given":"Julio"},{"family":"Bobadilla","given":"José Luis"},{"family":"Stern","given":</vt:lpwstr>
  </property>
  <property fmtid="{D5CDD505-2E9C-101B-9397-08002B2CF9AE}" pid="66" name="ZOTERO_BREF_YwW0G2VSdbTY_8">
    <vt:lpwstr>"Claudio"},{"family":"Frejka","given":"Tomas"},{"family":"Lozano","given":"Rafael"}],"issued":{"date-parts":[["1991",4,1]]},"accessed":{"date-parts":[["2015",2,19]]}}}],"schema":"https://github.com/citation-style-language/schema/raw/master/csl-citation.js</vt:lpwstr>
  </property>
  <property fmtid="{D5CDD505-2E9C-101B-9397-08002B2CF9AE}" pid="67" name="ZOTERO_BREF_YwW0G2VSdbTY_9">
    <vt:lpwstr>on"}</vt:lpwstr>
  </property>
  <property fmtid="{D5CDD505-2E9C-101B-9397-08002B2CF9AE}" pid="68" name="ZOTERO_BREF_X5OHyuXEieup_1">
    <vt:lpwstr>ZOTERO_BIBL {"custom":[]} CSL_BIBLIOGRAPHY</vt:lpwstr>
  </property>
  <property fmtid="{D5CDD505-2E9C-101B-9397-08002B2CF9AE}" pid="69" name="ZOTERO_BREF_3Dr1GLAjOqcH_1">
    <vt:lpwstr>ZOTERO_ITEM {"citationID":"eZJmyOLi","properties":{"formattedCitation":"(Omran, 1971)","plainCitation":"(Omran, 1971)"},"citationItems":[{"id":6,"uris":["http://zotero.org/users/local/ZvnVvjeS/items/UH49DSBX"],"uri":["http://zotero.org/users/local/ZvnVvje</vt:lpwstr>
  </property>
  <property fmtid="{D5CDD505-2E9C-101B-9397-08002B2CF9AE}" pid="70" name="ZOTERO_BREF_3Dr1GLAjOqcH_2">
    <vt:lpwstr>S/items/UH49DSBX"]}]}</vt:lpwstr>
  </property>
  <property fmtid="{D5CDD505-2E9C-101B-9397-08002B2CF9AE}" pid="71" name="ZOTERO_BREF_x7aiOyjqzm6k_1">
    <vt:lpwstr>ZOTERO_ITEM {"citationID":"BMRSt8db","properties":{"formattedCitation":"(Frenk, Bobadilla, Stern, Frejka, &amp; Lozano, 1991)","plainCitation":"(Frenk, Bobadilla, Stern, Frejka, &amp; Lozano, 1991)"},"citationItems":[{"id":11,"uris":["http://zotero.org/users/loca</vt:lpwstr>
  </property>
  <property fmtid="{D5CDD505-2E9C-101B-9397-08002B2CF9AE}" pid="72" name="ZOTERO_BREF_x7aiOyjqzm6k_2">
    <vt:lpwstr>l/ZvnVvjeS/items/BDHF8JTB"],"uri":["http://zotero.org/users/local/ZvnVvjeS/items/BDHF8JTB"]}]}</vt:lpwstr>
  </property>
  <property fmtid="{D5CDD505-2E9C-101B-9397-08002B2CF9AE}" pid="73" name="ZOTERO_BREF_s47zeC5T1Iua_1">
    <vt:lpwstr>ZOTERO_BIBL {"custom":[]}</vt:lpwstr>
  </property>
</Properties>
</file>