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1FA" w:rsidRDefault="004E3D9B">
      <w:pPr>
        <w:spacing w:before="0" w:after="160" w:line="251" w:lineRule="auto"/>
        <w:jc w:val="center"/>
        <w:rPr>
          <w:rFonts w:ascii="Times New Roman" w:hAnsi="Times New Roman"/>
          <w:b/>
          <w:color w:val="000000" w:themeColor="text1"/>
          <w:lang w:val="pt-BR"/>
        </w:rPr>
      </w:pPr>
      <w:r w:rsidRPr="00944D78">
        <w:rPr>
          <w:rFonts w:ascii="Times New Roman" w:hAnsi="Times New Roman"/>
          <w:b/>
          <w:color w:val="000000" w:themeColor="text1"/>
          <w:lang w:val="pt-BR"/>
        </w:rPr>
        <w:t>Aspectos demográficos e socioeconômicos dos adultos brasileiros e a COVID-19: uma análise dos grupos de risco a partir da Pesquisa Nacional de Saúde 2013</w:t>
      </w:r>
    </w:p>
    <w:p w:rsidR="008569A9" w:rsidRDefault="008569A9" w:rsidP="008569A9">
      <w:pPr>
        <w:spacing w:before="0" w:after="160" w:line="251" w:lineRule="auto"/>
        <w:jc w:val="left"/>
        <w:rPr>
          <w:color w:val="000000" w:themeColor="text1"/>
          <w:lang w:val="pt-BR"/>
        </w:rPr>
      </w:pPr>
    </w:p>
    <w:p w:rsidR="008569A9" w:rsidRDefault="008569A9" w:rsidP="008569A9">
      <w:pPr>
        <w:spacing w:before="0" w:after="0"/>
        <w:jc w:val="center"/>
        <w:rPr>
          <w:rFonts w:ascii="Times New Roman" w:hAnsi="Times New Roman"/>
          <w:color w:val="000000" w:themeColor="text1"/>
          <w:lang w:val="pt-BR"/>
        </w:rPr>
      </w:pPr>
      <w:r w:rsidRPr="008569A9">
        <w:rPr>
          <w:rFonts w:ascii="Times New Roman" w:hAnsi="Times New Roman"/>
          <w:color w:val="000000" w:themeColor="text1"/>
          <w:lang w:val="pt-BR"/>
        </w:rPr>
        <w:t xml:space="preserve">Gabriel Mendes </w:t>
      </w:r>
      <w:r>
        <w:rPr>
          <w:rFonts w:ascii="Times New Roman" w:hAnsi="Times New Roman"/>
          <w:color w:val="000000" w:themeColor="text1"/>
          <w:lang w:val="pt-BR"/>
        </w:rPr>
        <w:t>Borges (</w:t>
      </w:r>
      <w:r w:rsidRPr="008569A9">
        <w:rPr>
          <w:rFonts w:ascii="Times New Roman" w:hAnsi="Times New Roman"/>
          <w:color w:val="000000" w:themeColor="text1"/>
          <w:lang w:val="pt-BR"/>
        </w:rPr>
        <w:t>Instituto Brasileiro de Geografia e Estatística</w:t>
      </w:r>
      <w:r>
        <w:rPr>
          <w:rFonts w:ascii="Times New Roman" w:hAnsi="Times New Roman"/>
          <w:color w:val="000000" w:themeColor="text1"/>
          <w:lang w:val="pt-BR"/>
        </w:rPr>
        <w:t xml:space="preserve"> –</w:t>
      </w:r>
      <w:r w:rsidRPr="008569A9">
        <w:rPr>
          <w:rFonts w:ascii="Times New Roman" w:hAnsi="Times New Roman"/>
          <w:color w:val="000000" w:themeColor="text1"/>
          <w:lang w:val="pt-BR"/>
        </w:rPr>
        <w:t xml:space="preserve"> IBGE</w:t>
      </w:r>
      <w:r>
        <w:rPr>
          <w:rStyle w:val="FootnoteReference"/>
          <w:rFonts w:ascii="Times New Roman" w:hAnsi="Times New Roman"/>
          <w:color w:val="000000" w:themeColor="text1"/>
          <w:lang w:val="pt-BR"/>
        </w:rPr>
        <w:footnoteReference w:id="1"/>
      </w:r>
      <w:r>
        <w:rPr>
          <w:rFonts w:ascii="Times New Roman" w:hAnsi="Times New Roman"/>
          <w:color w:val="000000" w:themeColor="text1"/>
          <w:lang w:val="pt-BR"/>
        </w:rPr>
        <w:t>)</w:t>
      </w:r>
    </w:p>
    <w:p w:rsidR="008569A9" w:rsidRDefault="008569A9" w:rsidP="008569A9">
      <w:pPr>
        <w:spacing w:before="0" w:after="0"/>
        <w:jc w:val="center"/>
        <w:rPr>
          <w:rFonts w:ascii="Times New Roman" w:hAnsi="Times New Roman"/>
          <w:color w:val="000000" w:themeColor="text1"/>
          <w:lang w:val="pt-BR"/>
        </w:rPr>
      </w:pPr>
      <w:r w:rsidRPr="008569A9">
        <w:rPr>
          <w:rFonts w:ascii="Times New Roman" w:hAnsi="Times New Roman"/>
          <w:color w:val="000000" w:themeColor="text1"/>
          <w:lang w:val="pt-BR"/>
        </w:rPr>
        <w:t>Claudio Dutra Crespo</w:t>
      </w:r>
      <w:r>
        <w:rPr>
          <w:rFonts w:ascii="Times New Roman" w:hAnsi="Times New Roman"/>
          <w:color w:val="000000" w:themeColor="text1"/>
          <w:lang w:val="pt-BR"/>
        </w:rPr>
        <w:t xml:space="preserve"> (</w:t>
      </w:r>
      <w:r w:rsidRPr="008569A9">
        <w:rPr>
          <w:rFonts w:ascii="Times New Roman" w:hAnsi="Times New Roman"/>
          <w:color w:val="000000" w:themeColor="text1"/>
          <w:lang w:val="pt-BR"/>
        </w:rPr>
        <w:t xml:space="preserve">Instituto Brasileiro de Geografia e Estatística </w:t>
      </w:r>
      <w:r>
        <w:rPr>
          <w:rFonts w:ascii="Times New Roman" w:hAnsi="Times New Roman"/>
          <w:color w:val="000000" w:themeColor="text1"/>
          <w:lang w:val="pt-BR"/>
        </w:rPr>
        <w:t>–</w:t>
      </w:r>
      <w:r w:rsidRPr="008569A9">
        <w:rPr>
          <w:rFonts w:ascii="Times New Roman" w:hAnsi="Times New Roman"/>
          <w:color w:val="000000" w:themeColor="text1"/>
          <w:lang w:val="pt-BR"/>
        </w:rPr>
        <w:t xml:space="preserve"> IBG</w:t>
      </w:r>
      <w:r>
        <w:rPr>
          <w:rFonts w:ascii="Times New Roman" w:hAnsi="Times New Roman"/>
          <w:color w:val="000000" w:themeColor="text1"/>
          <w:lang w:val="pt-BR"/>
        </w:rPr>
        <w:t>E</w:t>
      </w:r>
      <w:r w:rsidRPr="008569A9">
        <w:rPr>
          <w:rFonts w:ascii="Times New Roman" w:hAnsi="Times New Roman"/>
          <w:color w:val="000000" w:themeColor="text1"/>
          <w:vertAlign w:val="superscript"/>
          <w:lang w:val="pt-BR"/>
        </w:rPr>
        <w:t>*</w:t>
      </w:r>
      <w:r>
        <w:rPr>
          <w:rFonts w:ascii="Times New Roman" w:hAnsi="Times New Roman"/>
          <w:color w:val="000000" w:themeColor="text1"/>
          <w:lang w:val="pt-BR"/>
        </w:rPr>
        <w:t>)</w:t>
      </w:r>
    </w:p>
    <w:p w:rsidR="008569A9" w:rsidRPr="008569A9" w:rsidRDefault="008569A9" w:rsidP="008569A9">
      <w:pPr>
        <w:ind w:left="360"/>
        <w:rPr>
          <w:rFonts w:ascii="Times New Roman" w:hAnsi="Times New Roman"/>
          <w:b/>
          <w:color w:val="000000" w:themeColor="text1"/>
          <w:sz w:val="26"/>
          <w:szCs w:val="26"/>
          <w:lang w:val="pt-BR"/>
        </w:rPr>
      </w:pPr>
      <w:r>
        <w:rPr>
          <w:rFonts w:ascii="Times New Roman" w:hAnsi="Times New Roman"/>
          <w:b/>
          <w:color w:val="000000" w:themeColor="text1"/>
          <w:sz w:val="26"/>
          <w:szCs w:val="26"/>
          <w:lang w:val="pt-BR"/>
        </w:rPr>
        <w:t>Resumo</w:t>
      </w:r>
    </w:p>
    <w:p w:rsidR="008569A9" w:rsidRPr="008569A9" w:rsidRDefault="008569A9" w:rsidP="008569A9">
      <w:pPr>
        <w:spacing w:before="0" w:after="0" w:line="240" w:lineRule="auto"/>
        <w:rPr>
          <w:rFonts w:ascii="Times New Roman" w:hAnsi="Times New Roman"/>
          <w:color w:val="000000" w:themeColor="text1"/>
          <w:lang w:val="pt-BR"/>
        </w:rPr>
      </w:pPr>
      <w:r w:rsidRPr="008569A9">
        <w:rPr>
          <w:rFonts w:ascii="Times New Roman" w:hAnsi="Times New Roman"/>
          <w:color w:val="000000" w:themeColor="text1"/>
          <w:lang w:val="pt-BR"/>
        </w:rPr>
        <w:t xml:space="preserve">Os objetivos desse trabalho são caracterizar os grupos de risco para COVID-19 no Brasil, bem como estimar o número de indivíduos convivendo no mesmo domicílio com pessoas no grupo de risco. Para tal, utiliza dados da Pesquisa Nacional de Saúde 2013. Para caracterizar os grupos de risco, ajustou-se um modelo de regressão logística binária múltipla tendo como variável resposta a existência ou não de pelo menos uma condição associada à COVID-19 e como variáveis explicativas, a idade, sexo, Grande Região, cor ou raça, nível de escolaridade e condição em relação à força de trabalho dos moradores entrevistados pela pesquisa. Os resultados mostram que a idade é o principal fator de risco para </w:t>
      </w:r>
      <w:proofErr w:type="spellStart"/>
      <w:r w:rsidRPr="008569A9">
        <w:rPr>
          <w:rFonts w:ascii="Times New Roman" w:hAnsi="Times New Roman"/>
          <w:color w:val="000000" w:themeColor="text1"/>
          <w:lang w:val="pt-BR"/>
        </w:rPr>
        <w:t>comorbidades</w:t>
      </w:r>
      <w:proofErr w:type="spellEnd"/>
      <w:r w:rsidRPr="008569A9">
        <w:rPr>
          <w:rFonts w:ascii="Times New Roman" w:hAnsi="Times New Roman"/>
          <w:color w:val="000000" w:themeColor="text1"/>
          <w:lang w:val="pt-BR"/>
        </w:rPr>
        <w:t xml:space="preserve"> associadas à COVID-19, mas há também maior risco para pessoas em categorias mais vulneráveis, como os menos escolarizados e pretos e pardos. Estima-se que 68,7% dos brasileiros viviam com pelo menos uma pessoa no grupo de risco – 30,3% viviam com pelo menos um idoso e outros 38,4% não tinham idosos em seus domicílios, mas tinham pelo menos um morador adulto com condições médicas pré-existentes. A proporção de pessoas vivendo em domicílios com pelo menos um morador no grupo de risco era maior ou igual a 50% para todas as idades, sendo crescente a partir dos 35 anos, mas havia também um alto número de pessoas com idade entre 10 e 25 anos convivendo com pessoas no grupo de risco. Tais resultados sugerem que, em função das dificuldades em se evitar contato próximo </w:t>
      </w:r>
      <w:proofErr w:type="spellStart"/>
      <w:r w:rsidRPr="008569A9">
        <w:rPr>
          <w:rFonts w:ascii="Times New Roman" w:hAnsi="Times New Roman"/>
          <w:color w:val="000000" w:themeColor="text1"/>
          <w:lang w:val="pt-BR"/>
        </w:rPr>
        <w:t>intradomiciliar</w:t>
      </w:r>
      <w:proofErr w:type="spellEnd"/>
      <w:r w:rsidRPr="008569A9">
        <w:rPr>
          <w:rFonts w:ascii="Times New Roman" w:hAnsi="Times New Roman"/>
          <w:color w:val="000000" w:themeColor="text1"/>
          <w:lang w:val="pt-BR"/>
        </w:rPr>
        <w:t>, o isolamento exclusivo de grupos populacionais específicos não se configura em uma estratégia possível no contexto brasileiro, devendo ser combinado com o isolamento do conjunto da população.</w:t>
      </w:r>
    </w:p>
    <w:p w:rsidR="008569A9" w:rsidRDefault="008569A9" w:rsidP="008569A9">
      <w:pPr>
        <w:spacing w:before="0" w:after="160" w:line="251" w:lineRule="auto"/>
        <w:rPr>
          <w:color w:val="000000" w:themeColor="text1"/>
          <w:lang w:val="pt-BR"/>
        </w:rPr>
      </w:pPr>
    </w:p>
    <w:p w:rsidR="008569A9" w:rsidRDefault="008569A9">
      <w:pPr>
        <w:spacing w:before="0" w:after="160" w:line="251" w:lineRule="auto"/>
        <w:jc w:val="center"/>
        <w:rPr>
          <w:color w:val="000000" w:themeColor="text1"/>
          <w:lang w:val="pt-BR"/>
        </w:rPr>
      </w:pPr>
    </w:p>
    <w:p w:rsidR="008569A9" w:rsidRPr="00944D78" w:rsidRDefault="008569A9">
      <w:pPr>
        <w:spacing w:before="0" w:after="160" w:line="251" w:lineRule="auto"/>
        <w:jc w:val="center"/>
        <w:rPr>
          <w:color w:val="000000" w:themeColor="text1"/>
          <w:lang w:val="pt-BR"/>
        </w:rPr>
      </w:pPr>
    </w:p>
    <w:p w:rsidR="008569A9" w:rsidRDefault="008569A9">
      <w:pPr>
        <w:suppressAutoHyphens w:val="0"/>
        <w:spacing w:before="0" w:after="0" w:line="240" w:lineRule="auto"/>
        <w:jc w:val="left"/>
        <w:rPr>
          <w:rFonts w:ascii="Times New Roman" w:hAnsi="Times New Roman"/>
          <w:b/>
          <w:color w:val="000000" w:themeColor="text1"/>
          <w:sz w:val="26"/>
          <w:lang w:val="pt-BR"/>
        </w:rPr>
      </w:pPr>
      <w:r>
        <w:rPr>
          <w:rFonts w:ascii="Times New Roman" w:hAnsi="Times New Roman"/>
          <w:color w:val="000000" w:themeColor="text1"/>
          <w:lang w:val="pt-BR"/>
        </w:rPr>
        <w:br w:type="page"/>
      </w:r>
    </w:p>
    <w:p w:rsidR="00B601FA" w:rsidRPr="00944D78" w:rsidRDefault="004E3D9B">
      <w:pPr>
        <w:pStyle w:val="ListParagraph"/>
        <w:numPr>
          <w:ilvl w:val="0"/>
          <w:numId w:val="1"/>
        </w:numPr>
        <w:rPr>
          <w:rFonts w:ascii="Times New Roman" w:hAnsi="Times New Roman"/>
          <w:color w:val="000000" w:themeColor="text1"/>
          <w:lang w:val="pt-BR"/>
        </w:rPr>
      </w:pPr>
      <w:bookmarkStart w:id="0" w:name="_GoBack"/>
      <w:bookmarkEnd w:id="0"/>
      <w:r w:rsidRPr="00944D78">
        <w:rPr>
          <w:rFonts w:ascii="Times New Roman" w:hAnsi="Times New Roman"/>
          <w:color w:val="000000" w:themeColor="text1"/>
          <w:lang w:val="pt-BR"/>
        </w:rPr>
        <w:lastRenderedPageBreak/>
        <w:t>Introdução</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COVID-19, doença causada pelo novo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SARS-CoV-2, foi declarada como pandemia pela Organização Mundial da Saúde (OMS) em 11 de Março de 2020</w:t>
      </w:r>
      <w:r w:rsidRPr="00944D78">
        <w:rPr>
          <w:rFonts w:ascii="Times New Roman" w:hAnsi="Times New Roman"/>
          <w:color w:val="000000" w:themeColor="text1"/>
          <w:vertAlign w:val="superscript"/>
          <w:lang w:val="pt-BR"/>
        </w:rPr>
        <w:t>1</w:t>
      </w:r>
      <w:r w:rsidRPr="00944D78">
        <w:rPr>
          <w:rFonts w:ascii="Times New Roman" w:hAnsi="Times New Roman"/>
          <w:color w:val="000000" w:themeColor="text1"/>
          <w:lang w:val="pt-BR"/>
        </w:rPr>
        <w:t>. O primeiro caso registrado no Brasil foi em 25 de fevereiro de 2020 e, em 30 de junho de 2020, o país era o segundo em número de casos confirmados (1.402.041) e óbitos (59.594)</w:t>
      </w:r>
      <w:r w:rsidRPr="00944D78">
        <w:rPr>
          <w:rFonts w:ascii="Times New Roman" w:hAnsi="Times New Roman"/>
          <w:color w:val="000000" w:themeColor="text1"/>
          <w:vertAlign w:val="superscript"/>
          <w:lang w:val="pt-BR"/>
        </w:rPr>
        <w:t>2,3</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pandemia de COVID-19 tem chamado a atenção de todo o mundo e suscitado debates acerca das estratégias de enfrentamento da doença, em que se destacam o distanciamento social, o fechamento de escolas e postos de trabalho, as medidas de higiene e de saúde das </w:t>
      </w:r>
      <w:r w:rsidRPr="00944D78">
        <w:rPr>
          <w:rFonts w:ascii="Times New Roman" w:hAnsi="Times New Roman"/>
          <w:color w:val="000000" w:themeColor="text1"/>
          <w:lang w:val="pt-BR"/>
        </w:rPr>
        <w:softHyphen/>
        <w:t>pessoas, o cancelamento de grandes eventos, entre outras</w:t>
      </w:r>
      <w:r w:rsidRPr="00944D78">
        <w:rPr>
          <w:rFonts w:ascii="Times New Roman" w:hAnsi="Times New Roman"/>
          <w:color w:val="000000" w:themeColor="text1"/>
          <w:vertAlign w:val="superscript"/>
          <w:lang w:val="pt-BR"/>
        </w:rPr>
        <w:t>4–7</w:t>
      </w:r>
      <w:r w:rsidRPr="00944D78">
        <w:rPr>
          <w:rFonts w:ascii="Times New Roman" w:hAnsi="Times New Roman"/>
          <w:color w:val="000000" w:themeColor="text1"/>
          <w:lang w:val="pt-BR"/>
        </w:rPr>
        <w:t>. No Brasil, a partir da segunda quinzena de março, ações referentes ao distanciamento social da população e a interrupção de atividades econômicas não essenciais, propostas pelas autoridades sanitárias nacionais e globais,  foram implementadas pela maioria dos governos subnacionais como medida fundamental para a redução da velocidade de transmissão da doença</w:t>
      </w:r>
      <w:r w:rsidRPr="00944D78">
        <w:rPr>
          <w:rFonts w:ascii="Times New Roman" w:hAnsi="Times New Roman"/>
          <w:color w:val="000000" w:themeColor="text1"/>
          <w:vertAlign w:val="superscript"/>
          <w:lang w:val="pt-BR"/>
        </w:rPr>
        <w:t>8</w:t>
      </w:r>
      <w:r w:rsidRPr="00944D78">
        <w:rPr>
          <w:rFonts w:ascii="Times New Roman" w:hAnsi="Times New Roman"/>
          <w:color w:val="000000" w:themeColor="text1"/>
          <w:lang w:val="pt-BR"/>
        </w:rPr>
        <w:t>. Tais medidas têm sido objeto de debate político, particularmente após o posicionamento contrário do Presidente da República ao distanciamento social</w:t>
      </w:r>
      <w:r w:rsidRPr="00944D78">
        <w:rPr>
          <w:rFonts w:ascii="Times New Roman" w:hAnsi="Times New Roman"/>
          <w:color w:val="000000" w:themeColor="text1"/>
          <w:vertAlign w:val="superscript"/>
          <w:lang w:val="pt-BR"/>
        </w:rPr>
        <w:t>9</w:t>
      </w:r>
      <w:r w:rsidRPr="00944D78">
        <w:rPr>
          <w:rFonts w:ascii="Times New Roman" w:hAnsi="Times New Roman"/>
          <w:color w:val="000000" w:themeColor="text1"/>
          <w:lang w:val="pt-BR"/>
        </w:rPr>
        <w:t>. Em diversas manifestações, o Presidente clamou pela “volta à normalidade”, sugeriu a retomada do funcionamento das escolas e das atividades laborais, defendendo a adoção de uma estratégia de “isolamento vertical”</w:t>
      </w:r>
      <w:r w:rsidRPr="00944D78">
        <w:rPr>
          <w:rFonts w:ascii="Times New Roman" w:hAnsi="Times New Roman"/>
          <w:color w:val="000000" w:themeColor="text1"/>
          <w:vertAlign w:val="superscript"/>
          <w:lang w:val="pt-BR"/>
        </w:rPr>
        <w:t>10</w:t>
      </w:r>
      <w:r w:rsidRPr="00944D78">
        <w:rPr>
          <w:rFonts w:ascii="Times New Roman" w:hAnsi="Times New Roman"/>
          <w:color w:val="000000" w:themeColor="text1"/>
          <w:lang w:val="pt-BR"/>
        </w:rPr>
        <w:t>. Esse termo, tradução do inglês “</w:t>
      </w:r>
      <w:r w:rsidRPr="00944D78">
        <w:rPr>
          <w:rFonts w:ascii="Times New Roman" w:hAnsi="Times New Roman"/>
          <w:i/>
          <w:color w:val="000000" w:themeColor="text1"/>
          <w:lang w:val="pt-BR"/>
        </w:rPr>
        <w:t xml:space="preserve">vertical </w:t>
      </w:r>
      <w:proofErr w:type="spellStart"/>
      <w:r w:rsidRPr="00944D78">
        <w:rPr>
          <w:rFonts w:ascii="Times New Roman" w:hAnsi="Times New Roman"/>
          <w:i/>
          <w:color w:val="000000" w:themeColor="text1"/>
          <w:lang w:val="pt-BR"/>
        </w:rPr>
        <w:t>interdiction</w:t>
      </w:r>
      <w:proofErr w:type="spellEnd"/>
      <w:r w:rsidRPr="00944D78">
        <w:rPr>
          <w:rFonts w:ascii="Times New Roman" w:hAnsi="Times New Roman"/>
          <w:color w:val="000000" w:themeColor="text1"/>
          <w:lang w:val="pt-BR"/>
        </w:rPr>
        <w:t>”, não está bem situado na literatura científica sobre o tema e foi proposto em artigo que discute tais políticas nos Estados Unidos</w:t>
      </w:r>
      <w:r w:rsidRPr="00944D78">
        <w:rPr>
          <w:rFonts w:ascii="Times New Roman" w:hAnsi="Times New Roman"/>
          <w:color w:val="000000" w:themeColor="text1"/>
          <w:vertAlign w:val="superscript"/>
          <w:lang w:val="pt-BR"/>
        </w:rPr>
        <w:t>11</w:t>
      </w:r>
      <w:r w:rsidRPr="00944D78">
        <w:rPr>
          <w:rFonts w:ascii="Times New Roman" w:hAnsi="Times New Roman"/>
          <w:color w:val="000000" w:themeColor="text1"/>
          <w:lang w:val="pt-BR"/>
        </w:rPr>
        <w:t>. Apesar de não estar totalmente claro o que se pretende com tal estratégia, nem que outras medidas estariam combinadas a ela, a ideia geral é propor o isolamento social somente das pessoas de 60 anos ou mais e aquelas com condições médicas pré-existentes.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 debate sobre a gravidade da pandemia e possíveis medidas para o seu enfrentamento está conectado com as evidências de que 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infecta pessoas de todas as idades, mas dois grupos de pessoas correm um risco maior de ter complicações graves da COVID-19: idosos e aqueles com condições médicas pré-existentes</w:t>
      </w:r>
      <w:r w:rsidRPr="00944D78">
        <w:rPr>
          <w:rFonts w:ascii="Times New Roman" w:hAnsi="Times New Roman"/>
          <w:color w:val="000000" w:themeColor="text1"/>
          <w:vertAlign w:val="superscript"/>
          <w:lang w:val="pt-BR"/>
        </w:rPr>
        <w:t>1</w:t>
      </w:r>
      <w:r w:rsidRPr="00944D78">
        <w:rPr>
          <w:rFonts w:ascii="Times New Roman" w:hAnsi="Times New Roman"/>
          <w:color w:val="000000" w:themeColor="text1"/>
          <w:lang w:val="pt-BR"/>
        </w:rPr>
        <w:t xml:space="preserve">. Os dados disponíveis até o momento apontam que a letalidade pelo novo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é maior entre os idosos, especialmente aqueles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como hipertensão, doenças cardíacas, diabetes e doenças respiratórias. Contudo, ainda que a mortalidade seja relativamente mais baixa entre os mais jovens, é importante a contribuição de jovens com condições médicas pré-existentes em complicações e consequentes internações hospitalares em vários países</w:t>
      </w:r>
      <w:r w:rsidRPr="00944D78">
        <w:rPr>
          <w:rFonts w:ascii="Times New Roman" w:hAnsi="Times New Roman"/>
          <w:color w:val="000000" w:themeColor="text1"/>
          <w:vertAlign w:val="superscript"/>
          <w:lang w:val="pt-BR"/>
        </w:rPr>
        <w:t>12–16</w:t>
      </w:r>
      <w:r w:rsidRPr="00944D78">
        <w:rPr>
          <w:rFonts w:ascii="Times New Roman" w:hAnsi="Times New Roman"/>
          <w:color w:val="000000" w:themeColor="text1"/>
          <w:lang w:val="pt-BR"/>
        </w:rPr>
        <w:t xml:space="preserve">  e também no Brasil</w:t>
      </w:r>
      <w:r w:rsidRPr="00944D78">
        <w:rPr>
          <w:rFonts w:ascii="Times New Roman" w:hAnsi="Times New Roman"/>
          <w:color w:val="000000" w:themeColor="text1"/>
          <w:vertAlign w:val="superscript"/>
          <w:lang w:val="pt-BR"/>
        </w:rPr>
        <w:t>17</w:t>
      </w:r>
      <w:r w:rsidRPr="00944D78">
        <w:rPr>
          <w:rFonts w:ascii="Times New Roman" w:hAnsi="Times New Roman"/>
          <w:color w:val="000000" w:themeColor="text1"/>
          <w:lang w:val="pt-BR"/>
        </w:rPr>
        <w:t>, gerando maior comprometimento dos finitos recursos, como profissionais de saúde, leitos de Unidade de Terapia Intensiva (UTI) e respiradores, que são, ainda, desigualmente distribuídos em termos regionais e sociais</w:t>
      </w:r>
      <w:r w:rsidRPr="00944D78">
        <w:rPr>
          <w:rFonts w:ascii="Times New Roman" w:hAnsi="Times New Roman"/>
          <w:color w:val="000000" w:themeColor="text1"/>
          <w:vertAlign w:val="superscript"/>
          <w:lang w:val="pt-BR"/>
        </w:rPr>
        <w:t>18</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Do embate político colocado por concepções antagônicas sobre a condução do país frente à pandemia e, consequentemente, sobre papel do Estado na vida da população, surgem questões a serem avaliadas, a partir  das informações disponíveis, para o conhecimento dessa nova realidade relativa à saúde dos brasileiros.</w:t>
      </w:r>
    </w:p>
    <w:p w:rsidR="00B601FA" w:rsidRPr="00944D78" w:rsidRDefault="004E3D9B">
      <w:pPr>
        <w:rPr>
          <w:color w:val="000000" w:themeColor="text1"/>
          <w:lang w:val="pt-BR"/>
        </w:rPr>
      </w:pPr>
      <w:r w:rsidRPr="00944D78">
        <w:rPr>
          <w:rFonts w:ascii="Times New Roman" w:hAnsi="Times New Roman"/>
          <w:color w:val="000000" w:themeColor="text1"/>
          <w:lang w:val="pt-BR"/>
        </w:rPr>
        <w:lastRenderedPageBreak/>
        <w:t>Estudos têm reportado diferenciais regionais e socioeconômicos em relação aos grupos de risco para a COVID-19 no Brasil, como maior incidência dos fatores de risco entre os menos escolarizados</w:t>
      </w:r>
      <w:r w:rsidRPr="00944D78">
        <w:rPr>
          <w:rFonts w:ascii="Times New Roman" w:hAnsi="Times New Roman"/>
          <w:color w:val="000000" w:themeColor="text1"/>
          <w:vertAlign w:val="superscript"/>
          <w:lang w:val="pt-BR"/>
        </w:rPr>
        <w:t>19,20</w:t>
      </w:r>
      <w:r w:rsidRPr="00944D78">
        <w:rPr>
          <w:rFonts w:ascii="Times New Roman" w:hAnsi="Times New Roman"/>
          <w:color w:val="000000" w:themeColor="text1"/>
          <w:lang w:val="pt-BR"/>
        </w:rPr>
        <w:t>. Alguns trabalhos anteriores descrevem e caracterizam fatores de risco associados à COVID-19, como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e diabetes</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xml:space="preserve">. É importante, então, avaliar conjuntamente essas questões, bem como expandir o entendimento sobre como se relacionam as características </w:t>
      </w:r>
      <w:proofErr w:type="spellStart"/>
      <w:r w:rsidRPr="00944D78">
        <w:rPr>
          <w:rFonts w:ascii="Times New Roman" w:hAnsi="Times New Roman"/>
          <w:color w:val="000000" w:themeColor="text1"/>
          <w:lang w:val="pt-BR"/>
        </w:rPr>
        <w:t>sociodemográficas</w:t>
      </w:r>
      <w:proofErr w:type="spellEnd"/>
      <w:r w:rsidRPr="00944D78">
        <w:rPr>
          <w:rFonts w:ascii="Times New Roman" w:hAnsi="Times New Roman"/>
          <w:color w:val="000000" w:themeColor="text1"/>
          <w:lang w:val="pt-BR"/>
        </w:rPr>
        <w:t xml:space="preserve"> da população e as chances de pertencimento ao grupo de risco. Além disso, nesse contexto de combate a uma doença infecciosa com alta transmissibilidade</w:t>
      </w:r>
      <w:r w:rsidRPr="00944D78">
        <w:rPr>
          <w:rFonts w:ascii="Times New Roman" w:hAnsi="Times New Roman"/>
          <w:color w:val="000000" w:themeColor="text1"/>
          <w:vertAlign w:val="superscript"/>
          <w:lang w:val="pt-BR"/>
        </w:rPr>
        <w:t>25</w:t>
      </w:r>
      <w:r w:rsidRPr="00944D78">
        <w:rPr>
          <w:rFonts w:ascii="Times New Roman" w:hAnsi="Times New Roman"/>
          <w:color w:val="000000" w:themeColor="text1"/>
          <w:lang w:val="pt-BR"/>
        </w:rPr>
        <w:t>, entende-se que o domicílio é uma importante unidade de análise e há uma lacuna na literatura a esse respeito.</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 melhor entendimento da estrutura socioeconômica e da composição dos domicílios associados aos grupos de risco, é fundamental para o enfrentamento da pandemia. A fim de subsidiar tais discussões, este trabalho tem dois objetivos principais: descrever os grupos de risco para COVID-19 em função de características demográficas e socioeconômicas e, de posse dessas estimativas, simular e caracterizar o número de indivíduos que estariam convivendo no mesmo domicílio com pessoas no grupo de risco.</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Métodos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Este trabalho utiliza os </w:t>
      </w:r>
      <w:proofErr w:type="spellStart"/>
      <w:r w:rsidRPr="00944D78">
        <w:rPr>
          <w:rFonts w:ascii="Times New Roman" w:hAnsi="Times New Roman"/>
          <w:color w:val="000000" w:themeColor="text1"/>
          <w:lang w:val="pt-BR"/>
        </w:rPr>
        <w:t>microdados</w:t>
      </w:r>
      <w:proofErr w:type="spellEnd"/>
      <w:r w:rsidRPr="00944D78">
        <w:rPr>
          <w:rFonts w:ascii="Times New Roman" w:hAnsi="Times New Roman"/>
          <w:color w:val="000000" w:themeColor="text1"/>
          <w:lang w:val="pt-BR"/>
        </w:rPr>
        <w:t xml:space="preserve"> da Pesquisa Nacional de Saúde 2013 (PNS). A PNS é uma pesquisa domiciliar nacional realizada em 2013 pelo IBGE e pelo Ministério da Saúde, por meio de entrevista presencial assistida por um dispositivo móvel de coleta. A amostra da PNS foi selecionada por meio de amostragem conglomerada em três estágios: i) setores censitários ou conjunto de setores; </w:t>
      </w:r>
      <w:proofErr w:type="spellStart"/>
      <w:r w:rsidRPr="00944D78">
        <w:rPr>
          <w:rFonts w:ascii="Times New Roman" w:hAnsi="Times New Roman"/>
          <w:color w:val="000000" w:themeColor="text1"/>
          <w:lang w:val="pt-BR"/>
        </w:rPr>
        <w:t>ii</w:t>
      </w:r>
      <w:proofErr w:type="spellEnd"/>
      <w:r w:rsidRPr="00944D78">
        <w:rPr>
          <w:rFonts w:ascii="Times New Roman" w:hAnsi="Times New Roman"/>
          <w:color w:val="000000" w:themeColor="text1"/>
          <w:lang w:val="pt-BR"/>
        </w:rPr>
        <w:t xml:space="preserve">) domicílios; </w:t>
      </w:r>
      <w:proofErr w:type="spellStart"/>
      <w:r w:rsidRPr="00944D78">
        <w:rPr>
          <w:rFonts w:ascii="Times New Roman" w:hAnsi="Times New Roman"/>
          <w:color w:val="000000" w:themeColor="text1"/>
          <w:lang w:val="pt-BR"/>
        </w:rPr>
        <w:t>iii</w:t>
      </w:r>
      <w:proofErr w:type="spellEnd"/>
      <w:r w:rsidRPr="00944D78">
        <w:rPr>
          <w:rFonts w:ascii="Times New Roman" w:hAnsi="Times New Roman"/>
          <w:color w:val="000000" w:themeColor="text1"/>
          <w:lang w:val="pt-BR"/>
        </w:rPr>
        <w:t>) moradores com 18 anos ou mais. A PNS tem três questionários, sendo os dois primeiros referentes a perguntas sobre características do domicílio, situação socioeconômica e algumas questões de saúde de todos os moradores. Perguntas específicas com foco em morbidade e estilos de vida foram realizadas apenas a um morador de 18 anos ou mais de idade, selecionado aleatoriamente no terceiro estágio da amostragem</w:t>
      </w:r>
      <w:r w:rsidRPr="00944D78">
        <w:rPr>
          <w:rFonts w:ascii="Times New Roman" w:hAnsi="Times New Roman"/>
          <w:color w:val="000000" w:themeColor="text1"/>
          <w:vertAlign w:val="superscript"/>
          <w:lang w:val="pt-BR"/>
        </w:rPr>
        <w:t>26–28</w:t>
      </w:r>
      <w:r w:rsidRPr="00944D78">
        <w:rPr>
          <w:rFonts w:ascii="Times New Roman" w:hAnsi="Times New Roman"/>
          <w:color w:val="000000" w:themeColor="text1"/>
          <w:lang w:val="pt-BR"/>
        </w:rPr>
        <w:t>. Foram realizadas entrevistas em 64.348 domicílios com 205.546 moradores, dos quais 60.202 eram moradores com 18 anos ou mais que responderam ao questionário individual.</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PNS, além de variáveis demográficas e socioeconômicas, fornece importantes informações sobre doenças crônicas não transmissíveis, algumas das quais têm sido apontadas como importantes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w:t>
      </w:r>
      <w:r w:rsidRPr="00944D78">
        <w:rPr>
          <w:rFonts w:ascii="Times New Roman" w:hAnsi="Times New Roman"/>
          <w:color w:val="000000" w:themeColor="text1"/>
          <w:vertAlign w:val="superscript"/>
          <w:lang w:val="pt-BR"/>
        </w:rPr>
        <w:t>13,29–31</w:t>
      </w:r>
      <w:r w:rsidRPr="00944D78">
        <w:rPr>
          <w:rFonts w:ascii="Times New Roman" w:hAnsi="Times New Roman"/>
          <w:color w:val="000000" w:themeColor="text1"/>
          <w:lang w:val="pt-BR"/>
        </w:rPr>
        <w:t xml:space="preserve">. Para o morador selecionado, foram feitas também aferições de peso, altura e pressão arterial, o que permite o cálculo de medidas de obesidade e hipertensão arterial.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Este trabalho utiliza como critério para pertencimento ao “grupo de risco por condições pré-existentes” a existência de pelo menos uma das seguintes condições: pessoas que referiram ter diagnóstico médico de diabetes, doença do coração, asma, doença pulmonar ou insuficiência renal crônica; pessoas com condição de obesidade mórbida (IMC maior do que 40,0 Kg/m); pessoas com hipertensão arterial medida pela pesquisa maior ou igual a 140 mmHg/90 mmHg ou uso medicamentos por causa da hipertensão arterial. </w:t>
      </w:r>
    </w:p>
    <w:p w:rsidR="00B601FA" w:rsidRPr="00944D78" w:rsidRDefault="004E3D9B">
      <w:pPr>
        <w:rPr>
          <w:color w:val="000000" w:themeColor="text1"/>
          <w:lang w:val="pt-BR"/>
        </w:rPr>
      </w:pPr>
      <w:r w:rsidRPr="00944D78">
        <w:rPr>
          <w:rFonts w:ascii="Times New Roman" w:hAnsi="Times New Roman"/>
          <w:color w:val="000000" w:themeColor="text1"/>
          <w:lang w:val="pt-BR"/>
        </w:rPr>
        <w:lastRenderedPageBreak/>
        <w:t xml:space="preserve">A PNS mostra resultados próximos da prevalência de hipertensão arterial decorrentes de dados </w:t>
      </w:r>
      <w:proofErr w:type="spellStart"/>
      <w:r w:rsidRPr="00944D78">
        <w:rPr>
          <w:rFonts w:ascii="Times New Roman" w:hAnsi="Times New Roman"/>
          <w:color w:val="000000" w:themeColor="text1"/>
          <w:lang w:val="pt-BR"/>
        </w:rPr>
        <w:t>autorreferidos</w:t>
      </w:r>
      <w:proofErr w:type="spellEnd"/>
      <w:r w:rsidRPr="00944D78">
        <w:rPr>
          <w:rFonts w:ascii="Times New Roman" w:hAnsi="Times New Roman"/>
          <w:color w:val="000000" w:themeColor="text1"/>
          <w:lang w:val="pt-BR"/>
        </w:rPr>
        <w:t xml:space="preserve"> ou medidos</w:t>
      </w:r>
      <w:r w:rsidRPr="00944D78">
        <w:rPr>
          <w:rFonts w:ascii="Times New Roman" w:hAnsi="Times New Roman"/>
          <w:color w:val="000000" w:themeColor="text1"/>
          <w:vertAlign w:val="superscript"/>
          <w:lang w:val="pt-BR"/>
        </w:rPr>
        <w:t>21</w:t>
      </w:r>
      <w:r w:rsidRPr="00944D78">
        <w:rPr>
          <w:rFonts w:ascii="Times New Roman" w:hAnsi="Times New Roman"/>
          <w:color w:val="000000" w:themeColor="text1"/>
          <w:lang w:val="pt-BR"/>
        </w:rPr>
        <w:t xml:space="preserve">. Optou-se, neste trabalho, por adotar o segundo critério, mas os resultados foram replicados também adotando o critério que considera a hipertensão arterial </w:t>
      </w:r>
      <w:proofErr w:type="spellStart"/>
      <w:r w:rsidRPr="00944D78">
        <w:rPr>
          <w:rFonts w:ascii="Times New Roman" w:hAnsi="Times New Roman"/>
          <w:color w:val="000000" w:themeColor="text1"/>
          <w:lang w:val="pt-BR"/>
        </w:rPr>
        <w:t>autorreferida</w:t>
      </w:r>
      <w:proofErr w:type="spellEnd"/>
      <w:r w:rsidRPr="00944D78">
        <w:rPr>
          <w:rFonts w:ascii="Times New Roman" w:hAnsi="Times New Roman"/>
          <w:color w:val="000000" w:themeColor="text1"/>
          <w:lang w:val="pt-BR"/>
        </w:rPr>
        <w:t xml:space="preserve">, e estão disponíveis em material suplementar no repositório do </w:t>
      </w:r>
      <w:proofErr w:type="spellStart"/>
      <w:r w:rsidRPr="00944D78">
        <w:rPr>
          <w:rFonts w:ascii="Times New Roman" w:hAnsi="Times New Roman"/>
          <w:i/>
          <w:color w:val="000000" w:themeColor="text1"/>
          <w:lang w:val="pt-BR"/>
        </w:rPr>
        <w:t>Github</w:t>
      </w:r>
      <w:proofErr w:type="spellEnd"/>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Com o intuito de evidenciar as características demográficas e socioeconômicas dos grupos de maiores riscos para COVID-19, ajustou-se um modelo de regressão logística binária múltipla, modelado conforme indicado abaixo:</w:t>
      </w:r>
    </w:p>
    <w:p w:rsidR="00B601FA" w:rsidRPr="00944D78" w:rsidRDefault="004E3D9B">
      <w:pPr>
        <w:jc w:val="center"/>
        <w:rPr>
          <w:color w:val="000000" w:themeColor="text1"/>
        </w:rPr>
      </w:pPr>
      <m:oMathPara>
        <m:oMathParaPr>
          <m:jc m:val="center"/>
        </m:oMathParaPr>
        <m:oMath>
          <m:r>
            <w:rPr>
              <w:rFonts w:ascii="Cambria Math" w:hAnsi="Cambria Math"/>
              <w:color w:val="000000" w:themeColor="text1"/>
            </w:rPr>
            <m:t>logito</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e>
          </m:d>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color w:val="000000" w:themeColor="text1"/>
                    </w:rPr>
                  </m:ctrlPr>
                </m:dPr>
                <m:e>
                  <m:f>
                    <m:fPr>
                      <m:type m:val="skw"/>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num>
                    <m:den>
                      <m:r>
                        <w:rPr>
                          <w:rFonts w:ascii="Cambria Math" w:hAnsi="Cambria Math"/>
                          <w:color w:val="000000" w:themeColor="text1"/>
                        </w:rPr>
                        <m:t>1-</m:t>
                      </m:r>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den>
                  </m:f>
                </m:e>
              </m:d>
            </m:e>
          </m:func>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k,i</m:t>
              </m:r>
            </m:sub>
          </m:sSub>
        </m:oMath>
      </m:oMathPara>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onde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m:t>
            </m:r>
          </m:sub>
        </m:sSub>
      </m:oMath>
      <w:r w:rsidRPr="00944D78">
        <w:rPr>
          <w:rFonts w:ascii="Times New Roman" w:hAnsi="Times New Roman"/>
          <w:color w:val="000000" w:themeColor="text1"/>
          <w:lang w:val="pt-BR"/>
        </w:rPr>
        <w:t xml:space="preserve"> representa a probabilidades de pertencimento ao grupo de risco por condições pré-existentes de cada indivíduo </w:t>
      </w:r>
      <m:oMath>
        <m:r>
          <w:rPr>
            <w:rFonts w:ascii="Cambria Math" w:hAnsi="Cambria Math"/>
            <w:color w:val="000000" w:themeColor="text1"/>
          </w:rPr>
          <m:t>i</m:t>
        </m:r>
      </m:oMath>
      <w:r w:rsidRPr="00944D78">
        <w:rPr>
          <w:rFonts w:ascii="Times New Roman" w:hAnsi="Times New Roman"/>
          <w:color w:val="000000" w:themeColor="text1"/>
          <w:lang w:val="pt-BR"/>
        </w:rPr>
        <w:t xml:space="preserve">, as variáveis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1,</m:t>
            </m:r>
            <m:r>
              <w:rPr>
                <w:rFonts w:ascii="Cambria Math" w:hAnsi="Cambria Math"/>
                <w:color w:val="000000" w:themeColor="text1"/>
              </w:rPr>
              <m:t>i</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lang w:val="pt-BR"/>
              </w:rPr>
              <m:t>2,</m:t>
            </m:r>
            <m:r>
              <w:rPr>
                <w:rFonts w:ascii="Cambria Math" w:hAnsi="Cambria Math"/>
                <w:color w:val="000000" w:themeColor="text1"/>
              </w:rPr>
              <m:t>i</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k</m:t>
            </m:r>
            <m:r>
              <w:rPr>
                <w:rFonts w:ascii="Cambria Math" w:hAnsi="Cambria Math"/>
                <w:color w:val="000000" w:themeColor="text1"/>
                <w:lang w:val="pt-BR"/>
              </w:rPr>
              <m:t>,</m:t>
            </m:r>
            <m:r>
              <w:rPr>
                <w:rFonts w:ascii="Cambria Math" w:hAnsi="Cambria Math"/>
                <w:color w:val="000000" w:themeColor="text1"/>
              </w:rPr>
              <m:t>i</m:t>
            </m:r>
          </m:sub>
        </m:sSub>
      </m:oMath>
      <w:r w:rsidRPr="00944D78">
        <w:rPr>
          <w:rFonts w:ascii="Times New Roman" w:hAnsi="Times New Roman"/>
          <w:color w:val="000000" w:themeColor="text1"/>
          <w:lang w:val="pt-BR"/>
        </w:rPr>
        <w:t xml:space="preserve"> indicam as características de cada indivíduo consideradas no modelo final, e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1</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lang w:val="pt-BR"/>
              </w:rPr>
              <m:t>2</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oMath>
      <w:r w:rsidRPr="00944D78">
        <w:rPr>
          <w:rFonts w:ascii="Times New Roman" w:hAnsi="Times New Roman"/>
          <w:color w:val="000000" w:themeColor="text1"/>
          <w:lang w:val="pt-BR"/>
        </w:rPr>
        <w:t xml:space="preserve"> representam os coeficientes estimados.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Os coeficientes da regressão logística, quando não se referem a variáveis que entram no modelo em termos com interação, são interpretados em função da Razão de Chances de cada uma das categorias de análise em relação a uma categoria de referência. A abordagem da regressão múltipla para analisar o fenômeno em questão é importante para minimizar os efeitos de </w:t>
      </w:r>
      <w:proofErr w:type="spellStart"/>
      <w:r w:rsidRPr="00944D78">
        <w:rPr>
          <w:rFonts w:ascii="Times New Roman" w:hAnsi="Times New Roman"/>
          <w:color w:val="000000" w:themeColor="text1"/>
          <w:lang w:val="pt-BR"/>
        </w:rPr>
        <w:t>confundimento</w:t>
      </w:r>
      <w:proofErr w:type="spellEnd"/>
      <w:r w:rsidRPr="00944D78">
        <w:rPr>
          <w:rFonts w:ascii="Times New Roman" w:hAnsi="Times New Roman"/>
          <w:color w:val="000000" w:themeColor="text1"/>
          <w:lang w:val="pt-BR"/>
        </w:rPr>
        <w:t xml:space="preserve"> de variáveis explicativas em relação à variável resposta, quando o tamanho da amostra não é suficientemente grande para estratificar todas as variáveis de interesse</w:t>
      </w:r>
      <w:r w:rsidRPr="00944D78">
        <w:rPr>
          <w:rFonts w:ascii="Times New Roman" w:hAnsi="Times New Roman"/>
          <w:color w:val="000000" w:themeColor="text1"/>
          <w:vertAlign w:val="superscript"/>
          <w:lang w:val="pt-BR"/>
        </w:rPr>
        <w:t>32</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Foram testadas como variáveis explicativas as respostas fornecidas pelos entrevistados da pesquisa referentes a: grupos quinquenais (com exceção do grupo 18-24) de idade, sexo, Grande Região, situação do domicílio (urbana ou rural), cor ou raça, nível de escolaridade, condição de ocupação (ocupada ou desocupada), condição em relação à força de trabalho (na força ou fora da força), e existência ou não de plano de saúde. Foi testada ainda a interação entre as variáveis sexo e idade, em função da associação entre estes dois atributos em relação à variável resposta, conforme apresentado na seção de resultados.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significância dos parâmetros foi avaliada pelo Teste de Wald, testando a hipótese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lang w:val="pt-BR"/>
              </w:rPr>
              <m:t>0</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lang w:val="pt-BR"/>
          </w:rPr>
          <m:t>=0</m:t>
        </m:r>
      </m:oMath>
      <w:r w:rsidRPr="00944D78">
        <w:rPr>
          <w:rFonts w:ascii="Times New Roman" w:hAnsi="Times New Roman"/>
          <w:color w:val="000000" w:themeColor="text1"/>
          <w:lang w:val="pt-BR"/>
        </w:rPr>
        <w:t xml:space="preserve"> </w:t>
      </w:r>
      <w:r w:rsidRPr="00944D78">
        <w:rPr>
          <w:rFonts w:ascii="Times New Roman" w:hAnsi="Times New Roman"/>
          <w:i/>
          <w:color w:val="000000" w:themeColor="text1"/>
          <w:lang w:val="pt-BR"/>
        </w:rPr>
        <w:t xml:space="preserve">versus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lang w:val="pt-BR"/>
              </w:rPr>
              <m:t>1</m:t>
            </m:r>
          </m:sub>
        </m:sSub>
        <m:r>
          <w:rPr>
            <w:rFonts w:ascii="Cambria Math" w:hAnsi="Cambria Math"/>
            <w:color w:val="000000" w:themeColor="text1"/>
            <w:lang w:val="pt-BR"/>
          </w:rPr>
          <m:t>:</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r>
          <w:rPr>
            <w:rFonts w:ascii="Cambria Math" w:hAnsi="Cambria Math"/>
            <w:color w:val="000000" w:themeColor="text1"/>
            <w:lang w:val="pt-BR"/>
          </w:rPr>
          <m:t>≠0</m:t>
        </m:r>
      </m:oMath>
      <w:r w:rsidRPr="00944D78">
        <w:rPr>
          <w:rFonts w:ascii="Times New Roman" w:hAnsi="Times New Roman"/>
          <w:color w:val="000000" w:themeColor="text1"/>
          <w:lang w:val="pt-BR"/>
        </w:rPr>
        <w:t xml:space="preserve"> para cada coeficiente </w:t>
      </w:r>
      <m:oMath>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j</m:t>
            </m:r>
          </m:sub>
        </m:sSub>
      </m:oMath>
      <w:r w:rsidRPr="00944D78">
        <w:rPr>
          <w:rFonts w:ascii="Times New Roman" w:hAnsi="Times New Roman"/>
          <w:color w:val="000000" w:themeColor="text1"/>
          <w:lang w:val="pt-BR"/>
        </w:rPr>
        <w:t xml:space="preserve"> inserido no modelo referente à inclusão da variável (ou interação entre variáveis) na ordem listada acima</w:t>
      </w:r>
      <w:r w:rsidRPr="00944D78">
        <w:rPr>
          <w:rFonts w:ascii="Times New Roman" w:hAnsi="Times New Roman"/>
          <w:color w:val="000000" w:themeColor="text1"/>
          <w:vertAlign w:val="superscript"/>
          <w:lang w:val="pt-BR"/>
        </w:rPr>
        <w:t>32</w:t>
      </w:r>
      <w:r w:rsidRPr="00944D78">
        <w:rPr>
          <w:rFonts w:ascii="Times New Roman" w:hAnsi="Times New Roman"/>
          <w:color w:val="000000" w:themeColor="text1"/>
          <w:lang w:val="pt-BR"/>
        </w:rPr>
        <w:t>. Foram mantidas no modelo aquelas variáveis e interações que apresentaram p-valor menor que 0,05. Todas as variáveis e interações do modelo final foram significativas com p-valor menor que 0,002. As variáveis “situação do domicílio” (p-valor = 0,21), “condição de ocupação” (p-valor = 0,85) e “existência de plano de saúde” (p-valor = 0,70) não foram significativas para o modelo e, portanto, não foram incluídas. O modelo final apresenta pseudo-R² (McFadden</w:t>
      </w:r>
      <w:r w:rsidRPr="00944D78">
        <w:rPr>
          <w:rFonts w:ascii="Times New Roman" w:hAnsi="Times New Roman"/>
          <w:color w:val="000000" w:themeColor="text1"/>
          <w:vertAlign w:val="superscript"/>
          <w:lang w:val="pt-BR"/>
        </w:rPr>
        <w:t>33</w:t>
      </w:r>
      <w:r w:rsidRPr="00944D78">
        <w:rPr>
          <w:rFonts w:ascii="Times New Roman" w:hAnsi="Times New Roman"/>
          <w:color w:val="000000" w:themeColor="text1"/>
          <w:lang w:val="pt-BR"/>
        </w:rPr>
        <w:t>) de 0,17.</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Com os resultados do ajuste da regressão, é possível estimar a probabilidade de um indivíduo pertencer ao grupo de risco por condições pré-existentes levando-se em consideração diversas características demográficas e socioeconômicas simultaneamente.</w:t>
      </w:r>
    </w:p>
    <w:p w:rsidR="00B601FA" w:rsidRPr="00944D78" w:rsidRDefault="004E3D9B">
      <w:pPr>
        <w:rPr>
          <w:color w:val="000000" w:themeColor="text1"/>
          <w:lang w:val="pt-BR"/>
        </w:rPr>
      </w:pPr>
      <w:r w:rsidRPr="00944D78">
        <w:rPr>
          <w:rFonts w:ascii="Times New Roman" w:hAnsi="Times New Roman"/>
          <w:color w:val="000000" w:themeColor="text1"/>
          <w:lang w:val="pt-BR"/>
        </w:rPr>
        <w:t>Como as perguntas específicas sobre morbidades só foram coletadas para um morador com 18 anos ou mais de idade por domicílio, não é possível extrair diretamente da pesquisa as características de todos os moradores e, consequentemente, saber quais são os domicílios que têm pessoas com tais características. Dessa forma, estimou-se, através dos coeficientes resultantes do modelo final da regressão logística ajustada, a probabilidade de cada indivíduo com idade entre 18 e 59 anos  pertencer ao grupo de risco, segundo seus atributos individuais. A partir destas probabilidades, simulou-se, utilizando a distribuição Bernoulli, o pertencimento ou não de cada indivíduo com idade entre 18 e 59 anos ao grupo de risco. Como não foram coletadas informações sobre morbidades para a população com menos de 18 anos, estes indivíduos foram considerados como fora do grupo de risco. Os idosos com 60 anos ou mais de idade foram classificados como pertencentes ao grupo de risco, conforme sugerido pelas evidências disponíveis até o momento</w:t>
      </w:r>
      <w:r w:rsidRPr="00944D78">
        <w:rPr>
          <w:rFonts w:ascii="Times New Roman" w:hAnsi="Times New Roman"/>
          <w:color w:val="000000" w:themeColor="text1"/>
          <w:vertAlign w:val="superscript"/>
          <w:lang w:val="pt-BR"/>
        </w:rPr>
        <w:t>1,29,31</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Os dados foram analisados utilizando-se o software estatístico R (versão 3.6.2). A biblioteca </w:t>
      </w:r>
      <w:proofErr w:type="spellStart"/>
      <w:r w:rsidRPr="00944D78">
        <w:rPr>
          <w:rFonts w:ascii="Times New Roman" w:hAnsi="Times New Roman"/>
          <w:i/>
          <w:color w:val="000000" w:themeColor="text1"/>
          <w:lang w:val="pt-BR"/>
        </w:rPr>
        <w:t>survey</w:t>
      </w:r>
      <w:proofErr w:type="spellEnd"/>
      <w:r w:rsidRPr="00944D78">
        <w:rPr>
          <w:rFonts w:ascii="Times New Roman" w:hAnsi="Times New Roman"/>
          <w:color w:val="000000" w:themeColor="text1"/>
          <w:lang w:val="pt-BR"/>
        </w:rPr>
        <w:t xml:space="preserve"> foi empregada para considerar os efeitos da amostragem complexa da pesquisa. Os scripts utilizados, bem como material suplementar, estão publicamente disponíveis no repositório do </w:t>
      </w:r>
      <w:proofErr w:type="spellStart"/>
      <w:r w:rsidRPr="00944D78">
        <w:rPr>
          <w:rFonts w:ascii="Times New Roman" w:hAnsi="Times New Roman"/>
          <w:i/>
          <w:color w:val="000000" w:themeColor="text1"/>
          <w:lang w:val="pt-BR"/>
        </w:rPr>
        <w:t>Github</w:t>
      </w:r>
      <w:proofErr w:type="spellEnd"/>
      <w:r w:rsidRPr="00944D78">
        <w:rPr>
          <w:rFonts w:ascii="Times New Roman" w:hAnsi="Times New Roman"/>
          <w:color w:val="000000" w:themeColor="text1"/>
          <w:lang w:val="pt-BR"/>
        </w:rPr>
        <w:t>, o que permite a reprodutibilidade de todos os resultados do artigo e a reutilização dos códigos por outros pesquisadores.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Resultados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Os resultados da PNS 2013 indicam que 39,4% [38,5; 40,4] dos homens e 40,4% [39,5; 41,2] das mulheres com 18 anos ou mais tinham pelo menos uma condição associada a complicações graves da COVID-19 (grupo de risco por condições pré-existentes).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A última coluna da Tabela 1 apresenta a prevalência de pelo menos uma condição pré-existentes associada a complicações graves da COVID-19 por sexo e grupos de idade, bem como seus intervalos de confiança. Observa-se que a prevalência é crescente com a idade, chegando a 75,0% e 73,1%, para homens e mulheres com mais de 60 anos, respectivamente. Ainda que a prevalência seja maior entre os mais velhos, tais doenças atingem também as pessoas mais jovens de forma significativa. Para a população de 55 a 59 anos, mais de 60% apresentam alguma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xml:space="preserve">, enquanto na população com idade entre 50 e 54, a prevalência é de mais de 50%. Entre os grupos mais jovens analisados, a prevalência de condição associada a complicações da COVID-19 chega a 12,2% das mulheres e 15,7% dos homens do grupo etário 18-24. Para o grupo 25-29, estes valores são de 14,5% para os homens e 21,0% para as mulheres, respectivamente. Em relação aos diferenciais por sexo, nota-se que entre os jovens de até 29 anos a prevalência é maior entre os homens, ao passo que entre os idosos a prevalência em mulheres é ligeiramente superior.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xml:space="preserve"> mais prevalente entre as pessoas de 18 anos ou mais é hipertensão arterial, que atinge 33,0% [32,1%; 34,0%] dos homens e 31,7% [30,9%; 32,5%] das mulheres, seguida de diabetes, com 5,4% [4,8%; 5,9%] dos homens e 7,1% [6,7%; 7,6%] das mulheres.</w:t>
      </w:r>
    </w:p>
    <w:p w:rsidR="00944D78" w:rsidRDefault="004E3D9B" w:rsidP="00944D78">
      <w:pPr>
        <w:rPr>
          <w:rFonts w:ascii="Times New Roman" w:hAnsi="Times New Roman"/>
          <w:color w:val="000000" w:themeColor="text1"/>
          <w:lang w:val="pt-BR"/>
        </w:rPr>
      </w:pPr>
      <w:r w:rsidRPr="00944D78">
        <w:rPr>
          <w:rFonts w:ascii="Times New Roman" w:hAnsi="Times New Roman"/>
          <w:color w:val="000000" w:themeColor="text1"/>
          <w:lang w:val="pt-BR"/>
        </w:rPr>
        <w:t>A Tabela 1 mostra também a prevalência de cada uma das condições associadas à COVID-19 por sexo e grupos de idade. Hipertensão arterial e diabetes são mais prevalentes entre os adultos mais velhos e idosos e suas prevalências aumentam consistentemente com a idade. A prevalência de doença do coração é também significantemente mais alta entre os mais velhos, particularmente a partir dos 55 anos. Para a população com menos de 40 anos, asma é uma doença com alta prevalência, girando em torno de 5%.</w:t>
      </w:r>
      <w:r w:rsidR="00944D78">
        <w:rPr>
          <w:rFonts w:ascii="Times New Roman" w:hAnsi="Times New Roman"/>
          <w:color w:val="000000" w:themeColor="text1"/>
          <w:lang w:val="pt-BR"/>
        </w:rPr>
        <w:br w:type="page"/>
      </w:r>
    </w:p>
    <w:p w:rsidR="00944D78" w:rsidRDefault="00944D78" w:rsidP="00944D78">
      <w:pPr>
        <w:spacing w:before="0" w:after="160" w:line="259" w:lineRule="auto"/>
        <w:rPr>
          <w:rFonts w:ascii="Times New Roman" w:hAnsi="Times New Roman"/>
          <w:b/>
          <w:color w:val="000000"/>
          <w:sz w:val="26"/>
          <w:lang w:val="pt-BR"/>
        </w:rPr>
        <w:sectPr w:rsidR="00944D78" w:rsidSect="00E656AC">
          <w:footnotePr>
            <w:numFmt w:val="chicago"/>
          </w:footnotePr>
          <w:pgSz w:w="12240" w:h="15840"/>
          <w:pgMar w:top="720" w:right="720" w:bottom="720" w:left="720" w:header="720" w:footer="720" w:gutter="0"/>
          <w:cols w:space="720"/>
          <w:docGrid w:linePitch="326"/>
        </w:sectPr>
      </w:pPr>
    </w:p>
    <w:p w:rsidR="00944D78" w:rsidRPr="00F0364B" w:rsidRDefault="00F0364B" w:rsidP="00F0364B">
      <w:pPr>
        <w:rPr>
          <w:rFonts w:ascii="Times New Roman" w:hAnsi="Times New Roman"/>
          <w:b/>
          <w:color w:val="000000"/>
          <w:lang w:val="pt-BR"/>
        </w:rPr>
      </w:pPr>
      <w:r w:rsidRPr="002E60B7">
        <w:rPr>
          <w:rFonts w:ascii="Times New Roman" w:hAnsi="Times New Roman"/>
          <w:b/>
          <w:color w:val="000000"/>
          <w:lang w:val="pt-BR"/>
        </w:rPr>
        <w:lastRenderedPageBreak/>
        <w:t>Tabela 1 – Prevalência e intervalos de confiança (%) de morbidades e fatores de risco associados a COVID-19 por grupos de idade – Brasil, 2013</w:t>
      </w:r>
    </w:p>
    <w:tbl>
      <w:tblPr>
        <w:tblW w:w="14512" w:type="dxa"/>
        <w:tblLook w:val="04A0" w:firstRow="1" w:lastRow="0" w:firstColumn="1" w:lastColumn="0" w:noHBand="0" w:noVBand="1"/>
      </w:tblPr>
      <w:tblGrid>
        <w:gridCol w:w="1260"/>
        <w:gridCol w:w="1821"/>
        <w:gridCol w:w="1689"/>
        <w:gridCol w:w="1743"/>
        <w:gridCol w:w="1811"/>
        <w:gridCol w:w="1382"/>
        <w:gridCol w:w="1415"/>
        <w:gridCol w:w="1645"/>
        <w:gridCol w:w="1746"/>
      </w:tblGrid>
      <w:tr w:rsidR="00F0364B" w:rsidRPr="008569A9"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Sexo/Idade</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Obesidade mórbida</w:t>
            </w: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Hipertensão arterial medida por instrumento ou uso de medicamentos</w:t>
            </w: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Diabetes</w:t>
            </w:r>
          </w:p>
        </w:tc>
        <w:tc>
          <w:tcPr>
            <w:tcW w:w="181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Doença do coração</w:t>
            </w:r>
          </w:p>
        </w:tc>
        <w:tc>
          <w:tcPr>
            <w:tcW w:w="1382"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Asma</w:t>
            </w:r>
          </w:p>
        </w:tc>
        <w:tc>
          <w:tcPr>
            <w:tcW w:w="1415"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Doença pulmonar</w:t>
            </w:r>
          </w:p>
        </w:tc>
        <w:tc>
          <w:tcPr>
            <w:tcW w:w="1645" w:type="dxa"/>
            <w:tcBorders>
              <w:top w:val="nil"/>
              <w:left w:val="nil"/>
              <w:bottom w:val="single" w:sz="4" w:space="0" w:color="auto"/>
              <w:right w:val="nil"/>
            </w:tcBorders>
            <w:shd w:val="clear" w:color="000000" w:fill="FFFFFF"/>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Insuficiência renal crônica</w:t>
            </w:r>
          </w:p>
        </w:tc>
        <w:tc>
          <w:tcPr>
            <w:tcW w:w="1746"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Pelo menos uma condição pré-existente</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Mulheres</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811" w:type="dxa"/>
            <w:tcBorders>
              <w:top w:val="single" w:sz="4" w:space="0" w:color="auto"/>
              <w:left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382"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415"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645" w:type="dxa"/>
            <w:tcBorders>
              <w:top w:val="single" w:sz="4" w:space="0" w:color="auto"/>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c>
          <w:tcPr>
            <w:tcW w:w="1746"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p>
        </w:tc>
      </w:tr>
      <w:tr w:rsidR="00F0364B" w:rsidRPr="002E60B7" w:rsidTr="00F0364B">
        <w:trPr>
          <w:trHeight w:val="144"/>
        </w:trPr>
        <w:tc>
          <w:tcPr>
            <w:tcW w:w="1260" w:type="dxa"/>
            <w:tcBorders>
              <w:top w:val="single" w:sz="4" w:space="0" w:color="auto"/>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18-24</w:t>
            </w:r>
          </w:p>
        </w:tc>
        <w:tc>
          <w:tcPr>
            <w:tcW w:w="1821" w:type="dxa"/>
            <w:tcBorders>
              <w:top w:val="single" w:sz="4" w:space="0" w:color="auto"/>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[0,4; 1,3]</w:t>
            </w:r>
          </w:p>
        </w:tc>
        <w:tc>
          <w:tcPr>
            <w:tcW w:w="1689"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3,0 [2,2; 3,8]</w:t>
            </w:r>
          </w:p>
        </w:tc>
        <w:tc>
          <w:tcPr>
            <w:tcW w:w="1743"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1,1]</w:t>
            </w:r>
          </w:p>
        </w:tc>
        <w:tc>
          <w:tcPr>
            <w:tcW w:w="1811"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[0,4; 1,3]</w:t>
            </w:r>
          </w:p>
        </w:tc>
        <w:tc>
          <w:tcPr>
            <w:tcW w:w="1382"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5,9 [4,6; 7,2]</w:t>
            </w:r>
          </w:p>
        </w:tc>
        <w:tc>
          <w:tcPr>
            <w:tcW w:w="1415"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[1,0; 2,4]</w:t>
            </w:r>
          </w:p>
        </w:tc>
        <w:tc>
          <w:tcPr>
            <w:tcW w:w="1645" w:type="dxa"/>
            <w:tcBorders>
              <w:top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0,2 [0,1; 0,3]</w:t>
            </w:r>
          </w:p>
        </w:tc>
        <w:tc>
          <w:tcPr>
            <w:tcW w:w="1746" w:type="dxa"/>
            <w:tcBorders>
              <w:top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12,2 [10,4; 13,9]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25-29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2,3 [1,5; 3,1]</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6,8 [5,5; 8,0]</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[0,2; 0,6]</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[0,5; 2,1]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4,5 [3,6; 5,4]</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[0,5; 1,3]</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[0,3; 1,1]</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14,5 [12,7; 16,2]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30-34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[1,5; 3,0]</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14,9 [13,0; 16,8]</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[0,7; 1,8]</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[1,2; 3,0]</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5,3 [4,1; 6,5]</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[0,9; 2,2]</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0,5 [0,2; 0,8]</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23,3 [21,0; 25,6]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35-39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3,7 [2,2; 5,1]</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19,0 [16,9; 21,1]</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2,3 [1,6; 3,0]</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[1,1; 3,1]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4,4 [3,2; 5,6]</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[0,5; 1,3]</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[0,3; 1,2]</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27,7 [25,2; 30,2]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40-44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2,5 [1,6; 3,4]</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25,9 [23,4; 28,4]</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4,5 [3,2; 5,8]</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3,8 [2,6; 5,0]</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5,3 [3,9; 6,7]</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[0,7; 2,4]</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[0,4; 2,0]</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37,5 [34,7; 40,2]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45-49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[2,1; 4,2]</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37,3 [34,4; 40,2]</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6,5 [5,0; 8,0]</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 [1,9; 4,7]</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6,3 [4,7; 7,8]</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 [0,8; 2,5]</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46,6 [43,5; 49,6]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50-54</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 [2,0; 4,5]</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44,0 [40,6; 47,4]</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8,2 [6,7; 9,7]</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3,8 [2,9; 4,8]</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[3,0; 5,3]</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1,4 [0,8; 2,0]</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[0,6; 1,9]</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52,1 [48,7; 55,5]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55-59</w:t>
            </w:r>
          </w:p>
        </w:tc>
        <w:tc>
          <w:tcPr>
            <w:tcW w:w="1821" w:type="dxa"/>
            <w:tcBorders>
              <w:top w:val="nil"/>
              <w:lef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2,6 [1,6; 3,5]</w:t>
            </w:r>
          </w:p>
        </w:tc>
        <w:tc>
          <w:tcPr>
            <w:tcW w:w="1689"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54,4 [51,1; 57,8]</w:t>
            </w:r>
          </w:p>
        </w:tc>
        <w:tc>
          <w:tcPr>
            <w:tcW w:w="1743"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13,5 [11,1; 15,9]</w:t>
            </w:r>
          </w:p>
        </w:tc>
        <w:tc>
          <w:tcPr>
            <w:tcW w:w="1811"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8,7 [6,3; 11,1]</w:t>
            </w:r>
          </w:p>
        </w:tc>
        <w:tc>
          <w:tcPr>
            <w:tcW w:w="1382"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[2,7; 5,4]</w:t>
            </w:r>
          </w:p>
        </w:tc>
        <w:tc>
          <w:tcPr>
            <w:tcW w:w="1415"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[0,9; 2,6]</w:t>
            </w:r>
          </w:p>
        </w:tc>
        <w:tc>
          <w:tcPr>
            <w:tcW w:w="1645" w:type="dxa"/>
            <w:tcBorders>
              <w:top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62,2 [58,9; 65,4]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60+</w:t>
            </w:r>
          </w:p>
        </w:tc>
        <w:tc>
          <w:tcPr>
            <w:tcW w:w="1821" w:type="dxa"/>
            <w:tcBorders>
              <w:top w:val="nil"/>
              <w:left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[1,5; 2,9]</w:t>
            </w:r>
          </w:p>
        </w:tc>
        <w:tc>
          <w:tcPr>
            <w:tcW w:w="1689"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67,0 [65,0; 69,0]</w:t>
            </w:r>
          </w:p>
        </w:tc>
        <w:tc>
          <w:tcPr>
            <w:tcW w:w="1743"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19,7 [18,0; 21,4]</w:t>
            </w:r>
          </w:p>
        </w:tc>
        <w:tc>
          <w:tcPr>
            <w:tcW w:w="1811"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10,7 [9,5; 12,0]</w:t>
            </w:r>
          </w:p>
        </w:tc>
        <w:tc>
          <w:tcPr>
            <w:tcW w:w="1382"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5,2 [4,3; 6,1]</w:t>
            </w:r>
          </w:p>
        </w:tc>
        <w:tc>
          <w:tcPr>
            <w:tcW w:w="1415"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 [2,8; 4,4]</w:t>
            </w:r>
          </w:p>
        </w:tc>
        <w:tc>
          <w:tcPr>
            <w:tcW w:w="1645" w:type="dxa"/>
            <w:tcBorders>
              <w:top w:val="nil"/>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[0,7; 1,5]</w:t>
            </w:r>
          </w:p>
        </w:tc>
        <w:tc>
          <w:tcPr>
            <w:tcW w:w="1746" w:type="dxa"/>
            <w:tcBorders>
              <w:top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75,0 [73,2; 76,8]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Homens</w:t>
            </w:r>
          </w:p>
        </w:tc>
        <w:tc>
          <w:tcPr>
            <w:tcW w:w="1821" w:type="dxa"/>
            <w:tcBorders>
              <w:top w:val="single" w:sz="4" w:space="0" w:color="auto"/>
              <w:left w:val="nil"/>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689"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743"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811"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382"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415"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645" w:type="dxa"/>
            <w:tcBorders>
              <w:top w:val="single" w:sz="4" w:space="0" w:color="auto"/>
              <w:bottom w:val="single" w:sz="4" w:space="0" w:color="auto"/>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c>
          <w:tcPr>
            <w:tcW w:w="1746" w:type="dxa"/>
            <w:tcBorders>
              <w:top w:val="single" w:sz="4" w:space="0" w:color="auto"/>
              <w:bottom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p>
        </w:tc>
      </w:tr>
      <w:tr w:rsidR="00F0364B" w:rsidRPr="002E60B7" w:rsidTr="00F0364B">
        <w:trPr>
          <w:trHeight w:val="144"/>
        </w:trPr>
        <w:tc>
          <w:tcPr>
            <w:tcW w:w="1260" w:type="dxa"/>
            <w:tcBorders>
              <w:top w:val="single" w:sz="4" w:space="0" w:color="auto"/>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18-24</w:t>
            </w:r>
          </w:p>
        </w:tc>
        <w:tc>
          <w:tcPr>
            <w:tcW w:w="1821"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0,5 [0,1; 0,9]</w:t>
            </w:r>
          </w:p>
        </w:tc>
        <w:tc>
          <w:tcPr>
            <w:tcW w:w="1689"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9,7 [7,7; 11,7]</w:t>
            </w:r>
          </w:p>
        </w:tc>
        <w:tc>
          <w:tcPr>
            <w:tcW w:w="1743"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[0,1; 0,7]</w:t>
            </w:r>
          </w:p>
        </w:tc>
        <w:tc>
          <w:tcPr>
            <w:tcW w:w="1811"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[0,2; 1,5]</w:t>
            </w:r>
          </w:p>
        </w:tc>
        <w:tc>
          <w:tcPr>
            <w:tcW w:w="1382"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4,7 [3,7; 5,8]</w:t>
            </w:r>
          </w:p>
        </w:tc>
        <w:tc>
          <w:tcPr>
            <w:tcW w:w="1415"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 [0,7; 2,3]</w:t>
            </w:r>
          </w:p>
        </w:tc>
        <w:tc>
          <w:tcPr>
            <w:tcW w:w="1645" w:type="dxa"/>
            <w:tcBorders>
              <w:top w:val="single" w:sz="4" w:space="0" w:color="auto"/>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0,1 [0,0; 0,2]</w:t>
            </w:r>
          </w:p>
        </w:tc>
        <w:tc>
          <w:tcPr>
            <w:tcW w:w="1746" w:type="dxa"/>
            <w:tcBorders>
              <w:top w:val="single" w:sz="4" w:space="0" w:color="auto"/>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15,7 [13,5; 18,0]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25-29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0,9 [0,4; 1,4]</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15,2 [12,7; 17,6]</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[0,3; 1,7]</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[0,2; 1,0]</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3,4 [2,2; 4,5]</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 [0,9; 2,7]</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0,3 [0,1; 0,6]</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21,0 [18,4; 23,6]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30-34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0,8 [0,3; 1,3]</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18,2 [15,6; 20,8]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[0,2; 1,0]</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1,2]</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[2,0; 4,3]</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[0,3; 0,9]</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0,2 [0,0; 0,5]</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22,7 [19,9; 25,4]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35-39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[0,5; 1,4]</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24,0 [21,3; 26,6]</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2,0 [0,8; 3,2]</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[1,2; 3,1]</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4,8 [3,3; 6,4]</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0,6 [0,3; 1,0]</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0,4 [0,1; 0,7]</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31,4 [28,6; 34,2]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40-44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1,1]</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33,1 [29,9; 36,3]</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3,2 [2,1; 4,3]</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1,8 [0,9; 2,7]</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[1,1; 2,3]</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[0,9; 2,6]</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0,3 [0,1; 0,4]</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37,2 [34,0; 40,5]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45-49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[0,2; 1,8]</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36,6 [33,4; 39,8]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4,1 [2,7; 5,4]</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3,4 [2,3; 4,6]</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3,6 [2,4; 4,8]</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1,0 [0,4; 1,5]</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[0,5; 1,7]</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43,0 [39,7; 46,3]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50-54</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 [0,5; 1,9]</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47,9 [44,2; 51,7]</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7,4 [5,6; 9,2]</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4,6 [3,0; 6,2]</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2,9 [1,9; 3,9]</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1,5 [0,8; 2,2]</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1,7 [0,6; 2,8]</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54,6 [50,9; 58,3] </w:t>
            </w:r>
          </w:p>
        </w:tc>
      </w:tr>
      <w:tr w:rsidR="00F0364B" w:rsidRPr="002E60B7" w:rsidTr="00F0364B">
        <w:trPr>
          <w:trHeight w:val="144"/>
        </w:trPr>
        <w:tc>
          <w:tcPr>
            <w:tcW w:w="1260" w:type="dxa"/>
            <w:tcBorders>
              <w:top w:val="nil"/>
              <w:left w:val="nil"/>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55-59</w:t>
            </w:r>
          </w:p>
        </w:tc>
        <w:tc>
          <w:tcPr>
            <w:tcW w:w="182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1,1 [0,4; 1,8]</w:t>
            </w:r>
          </w:p>
        </w:tc>
        <w:tc>
          <w:tcPr>
            <w:tcW w:w="1689"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52,8 [48,8; 56,8]</w:t>
            </w:r>
          </w:p>
        </w:tc>
        <w:tc>
          <w:tcPr>
            <w:tcW w:w="1743"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12,1 [8,6; 15,6]</w:t>
            </w:r>
          </w:p>
        </w:tc>
        <w:tc>
          <w:tcPr>
            <w:tcW w:w="1811"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6,5 [4,5; 8,4]</w:t>
            </w:r>
          </w:p>
        </w:tc>
        <w:tc>
          <w:tcPr>
            <w:tcW w:w="1382"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2,2 [1,3; 3,0]</w:t>
            </w:r>
          </w:p>
        </w:tc>
        <w:tc>
          <w:tcPr>
            <w:tcW w:w="1415"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[0,7; 2,0]</w:t>
            </w:r>
          </w:p>
        </w:tc>
        <w:tc>
          <w:tcPr>
            <w:tcW w:w="1645" w:type="dxa"/>
            <w:tcBorders>
              <w:top w:val="nil"/>
              <w:left w:val="nil"/>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1,3 [0,6; 2,0]</w:t>
            </w:r>
          </w:p>
        </w:tc>
        <w:tc>
          <w:tcPr>
            <w:tcW w:w="1746" w:type="dxa"/>
            <w:tcBorders>
              <w:top w:val="nil"/>
              <w:left w:val="nil"/>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60,6 [56,6; 64,6] </w:t>
            </w:r>
          </w:p>
        </w:tc>
      </w:tr>
      <w:tr w:rsidR="00F0364B" w:rsidRPr="002E60B7" w:rsidTr="00F0364B">
        <w:trPr>
          <w:trHeight w:val="144"/>
        </w:trPr>
        <w:tc>
          <w:tcPr>
            <w:tcW w:w="1260" w:type="dxa"/>
            <w:tcBorders>
              <w:top w:val="nil"/>
              <w:left w:val="nil"/>
              <w:bottom w:val="single" w:sz="4" w:space="0" w:color="auto"/>
              <w:right w:val="single" w:sz="4" w:space="0" w:color="auto"/>
            </w:tcBorders>
            <w:shd w:val="clear" w:color="000000" w:fill="FFFFFF"/>
            <w:hideMark/>
          </w:tcPr>
          <w:p w:rsidR="00F0364B" w:rsidRPr="002E60B7" w:rsidRDefault="00F0364B" w:rsidP="00F0364B">
            <w:pPr>
              <w:spacing w:before="0" w:after="0" w:line="240" w:lineRule="auto"/>
              <w:jc w:val="center"/>
              <w:rPr>
                <w:rFonts w:ascii="Times New Roman" w:hAnsi="Times New Roman"/>
                <w:b/>
                <w:color w:val="000000"/>
                <w:sz w:val="22"/>
                <w:szCs w:val="22"/>
                <w:lang w:val="pt-BR" w:eastAsia="en-US"/>
              </w:rPr>
            </w:pPr>
            <w:r w:rsidRPr="002E60B7">
              <w:rPr>
                <w:rFonts w:ascii="Times New Roman" w:hAnsi="Times New Roman"/>
                <w:b/>
                <w:color w:val="000000"/>
                <w:sz w:val="22"/>
                <w:szCs w:val="22"/>
                <w:lang w:val="pt-BR" w:eastAsia="en-US"/>
              </w:rPr>
              <w:t>60+</w:t>
            </w:r>
          </w:p>
        </w:tc>
        <w:tc>
          <w:tcPr>
            <w:tcW w:w="182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0,7 [0,2; 1,2]</w:t>
            </w:r>
          </w:p>
        </w:tc>
        <w:tc>
          <w:tcPr>
            <w:tcW w:w="1689"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64,8 [62,6; 67,0]</w:t>
            </w:r>
          </w:p>
        </w:tc>
        <w:tc>
          <w:tcPr>
            <w:tcW w:w="1743"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16,1 [14,1; 18,1]</w:t>
            </w:r>
          </w:p>
        </w:tc>
        <w:tc>
          <w:tcPr>
            <w:tcW w:w="1811"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12,3 [10,3; 14,2]</w:t>
            </w:r>
          </w:p>
        </w:tc>
        <w:tc>
          <w:tcPr>
            <w:tcW w:w="1382"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4,2 [3,1; 5,2]</w:t>
            </w:r>
          </w:p>
        </w:tc>
        <w:tc>
          <w:tcPr>
            <w:tcW w:w="1415"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4,2 [3,1; 5,3]</w:t>
            </w:r>
          </w:p>
        </w:tc>
        <w:tc>
          <w:tcPr>
            <w:tcW w:w="1645" w:type="dxa"/>
            <w:tcBorders>
              <w:top w:val="nil"/>
              <w:left w:val="nil"/>
              <w:bottom w:val="single" w:sz="4" w:space="0" w:color="auto"/>
              <w:right w:val="nil"/>
            </w:tcBorders>
            <w:shd w:val="clear" w:color="000000" w:fill="FFFFFF"/>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2,1 [1,3; 2,9]</w:t>
            </w:r>
          </w:p>
        </w:tc>
        <w:tc>
          <w:tcPr>
            <w:tcW w:w="1746" w:type="dxa"/>
            <w:tcBorders>
              <w:top w:val="nil"/>
              <w:left w:val="nil"/>
              <w:bottom w:val="single" w:sz="4" w:space="0" w:color="auto"/>
              <w:right w:val="nil"/>
            </w:tcBorders>
            <w:shd w:val="clear" w:color="000000" w:fill="FFFFFF"/>
            <w:hideMark/>
          </w:tcPr>
          <w:p w:rsidR="00F0364B" w:rsidRPr="002E60B7" w:rsidRDefault="00F0364B" w:rsidP="00F0364B">
            <w:pPr>
              <w:spacing w:before="0" w:after="0" w:line="240" w:lineRule="auto"/>
              <w:jc w:val="center"/>
              <w:rPr>
                <w:rFonts w:ascii="Times New Roman" w:hAnsi="Times New Roman"/>
                <w:color w:val="000000"/>
                <w:sz w:val="22"/>
                <w:szCs w:val="22"/>
                <w:lang w:val="pt-BR" w:eastAsia="en-US"/>
              </w:rPr>
            </w:pPr>
            <w:r w:rsidRPr="002E60B7">
              <w:rPr>
                <w:rFonts w:ascii="Times New Roman" w:hAnsi="Times New Roman"/>
                <w:color w:val="000000"/>
                <w:sz w:val="22"/>
                <w:szCs w:val="22"/>
                <w:lang w:val="pt-BR" w:eastAsia="en-US"/>
              </w:rPr>
              <w:t xml:space="preserve">73,1 [71,2; 75,1] </w:t>
            </w:r>
          </w:p>
        </w:tc>
      </w:tr>
    </w:tbl>
    <w:p w:rsidR="00F0364B" w:rsidRPr="002E60B7" w:rsidRDefault="00F0364B" w:rsidP="00F0364B">
      <w:pPr>
        <w:spacing w:before="0" w:after="0" w:line="240" w:lineRule="auto"/>
        <w:rPr>
          <w:rFonts w:ascii="Times New Roman" w:hAnsi="Times New Roman"/>
          <w:b/>
          <w:color w:val="000000"/>
          <w:lang w:val="pt-BR"/>
        </w:rPr>
      </w:pPr>
      <w:r w:rsidRPr="002E60B7">
        <w:rPr>
          <w:rFonts w:ascii="Times New Roman" w:hAnsi="Times New Roman"/>
          <w:b/>
          <w:color w:val="000000"/>
          <w:lang w:val="pt-BR"/>
        </w:rPr>
        <w:t>Fonte: IBGE, Pesquisa Nacional de Saúde 2013</w:t>
      </w:r>
    </w:p>
    <w:p w:rsidR="00F0364B" w:rsidRDefault="00F0364B" w:rsidP="00F0364B">
      <w:pPr>
        <w:rPr>
          <w:rFonts w:ascii="Times New Roman" w:hAnsi="Times New Roman"/>
          <w:b/>
          <w:color w:val="000000"/>
          <w:lang w:val="pt-BR"/>
        </w:rPr>
        <w:sectPr w:rsidR="00F0364B" w:rsidSect="00E656AC">
          <w:pgSz w:w="15840" w:h="12240" w:orient="landscape"/>
          <w:pgMar w:top="720" w:right="806" w:bottom="720" w:left="720" w:header="720" w:footer="720" w:gutter="0"/>
          <w:cols w:space="720"/>
          <w:docGrid w:linePitch="326"/>
        </w:sectPr>
      </w:pPr>
    </w:p>
    <w:p w:rsidR="00944D78" w:rsidRDefault="00944D78">
      <w:pPr>
        <w:suppressAutoHyphens w:val="0"/>
        <w:spacing w:before="0" w:after="0" w:line="240" w:lineRule="auto"/>
        <w:jc w:val="left"/>
        <w:rPr>
          <w:rFonts w:ascii="Times New Roman" w:hAnsi="Times New Roman"/>
          <w:color w:val="000000" w:themeColor="text1"/>
          <w:lang w:val="pt-BR"/>
        </w:rPr>
      </w:pP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Tabela 2 apresenta o tamanho da amostra dos moradores com 18 anos ou mais que responderam ao questionário individual, bem como a população estimada considerando o desenho amostra da pesquisa segundo as categorias de análise selecionadas para este estudo. Destaca-se o pequeno número de observações dos moradores que se declararam como amarelos (533) e indígenas (417). A Tabela 2 apresenta, ainda, a prevalência de pelo menos uma condição pré-existente relacionada a COVID-19 e seus intervalos de confiança para as categorias em questão. Chama-se atenção para o crescimento da prevalência com o aumento da idade, prevalências próximas para ambos os sexos, e mais alta prevalência para os moradores sem instrução ou fundamental incompleto, 52,6%[51,6%; 53,7%] e fora da força de trabalho, 52,5%[51,4%; 53,6%].</w:t>
      </w:r>
    </w:p>
    <w:p w:rsidR="00E656AC" w:rsidRDefault="00E656AC">
      <w:pPr>
        <w:suppressAutoHyphens w:val="0"/>
        <w:spacing w:before="0" w:after="0" w:line="240" w:lineRule="auto"/>
        <w:jc w:val="left"/>
        <w:rPr>
          <w:rFonts w:ascii="Times New Roman" w:hAnsi="Times New Roman"/>
          <w:b/>
          <w:color w:val="000000"/>
          <w:lang w:val="pt-BR"/>
        </w:rPr>
      </w:pPr>
      <w:r>
        <w:rPr>
          <w:rFonts w:ascii="Times New Roman" w:hAnsi="Times New Roman"/>
          <w:b/>
          <w:color w:val="000000"/>
          <w:lang w:val="pt-BR"/>
        </w:rPr>
        <w:br w:type="page"/>
      </w:r>
    </w:p>
    <w:p w:rsidR="00E656AC" w:rsidRPr="00A90C53" w:rsidRDefault="00E656AC" w:rsidP="00E656AC">
      <w:pPr>
        <w:spacing w:before="0" w:after="0" w:line="240" w:lineRule="auto"/>
        <w:rPr>
          <w:rFonts w:ascii="Times New Roman" w:hAnsi="Times New Roman"/>
          <w:b/>
          <w:color w:val="000000"/>
          <w:lang w:val="pt-BR"/>
        </w:rPr>
      </w:pPr>
      <w:r w:rsidRPr="00A90C53">
        <w:rPr>
          <w:rFonts w:ascii="Times New Roman" w:hAnsi="Times New Roman"/>
          <w:b/>
          <w:color w:val="000000"/>
          <w:lang w:val="pt-BR"/>
        </w:rPr>
        <w:lastRenderedPageBreak/>
        <w:t xml:space="preserve">Tabela 2 – Tamanho da amostra(n), população estimada e </w:t>
      </w:r>
      <w:r w:rsidRPr="00A90C53">
        <w:rPr>
          <w:rFonts w:ascii="Times New Roman" w:hAnsi="Times New Roman"/>
          <w:b/>
          <w:bCs/>
          <w:color w:val="000000"/>
          <w:lang w:val="pt-BR" w:eastAsia="en-US"/>
        </w:rPr>
        <w:t>prevalência de pelo menos uma condição pré-existente relacionada</w:t>
      </w:r>
      <w:r w:rsidRPr="00A90C53">
        <w:rPr>
          <w:rFonts w:ascii="Times New Roman" w:hAnsi="Times New Roman"/>
          <w:b/>
          <w:color w:val="000000"/>
          <w:lang w:val="pt-BR"/>
        </w:rPr>
        <w:t xml:space="preserve"> a COVID-19 – Brasil, 2013</w:t>
      </w:r>
    </w:p>
    <w:tbl>
      <w:tblPr>
        <w:tblW w:w="11594" w:type="dxa"/>
        <w:tblInd w:w="-342" w:type="dxa"/>
        <w:tblLook w:val="04A0" w:firstRow="1" w:lastRow="0" w:firstColumn="1" w:lastColumn="0" w:noHBand="0" w:noVBand="1"/>
      </w:tblPr>
      <w:tblGrid>
        <w:gridCol w:w="4616"/>
        <w:gridCol w:w="1116"/>
        <w:gridCol w:w="2378"/>
        <w:gridCol w:w="3484"/>
      </w:tblGrid>
      <w:tr w:rsidR="00E656AC" w:rsidRPr="008569A9" w:rsidTr="009D0705">
        <w:trPr>
          <w:trHeight w:val="20"/>
        </w:trPr>
        <w:tc>
          <w:tcPr>
            <w:tcW w:w="4616"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Variável</w:t>
            </w:r>
          </w:p>
        </w:tc>
        <w:tc>
          <w:tcPr>
            <w:tcW w:w="1116"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Amostra (n)</w:t>
            </w:r>
          </w:p>
        </w:tc>
        <w:tc>
          <w:tcPr>
            <w:tcW w:w="2378"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População estimada</w:t>
            </w:r>
          </w:p>
        </w:tc>
        <w:tc>
          <w:tcPr>
            <w:tcW w:w="3484" w:type="dxa"/>
            <w:tcBorders>
              <w:top w:val="single" w:sz="4" w:space="0" w:color="auto"/>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b/>
                <w:bCs/>
                <w:color w:val="000000"/>
                <w:lang w:val="pt-BR" w:eastAsia="en-US"/>
              </w:rPr>
            </w:pPr>
            <w:r w:rsidRPr="00A90C53">
              <w:rPr>
                <w:rFonts w:ascii="Times New Roman" w:hAnsi="Times New Roman"/>
                <w:b/>
                <w:bCs/>
                <w:color w:val="000000"/>
                <w:lang w:val="pt-BR" w:eastAsia="en-US"/>
              </w:rPr>
              <w:t>Prevalência de pelo menos uma condição pré-existente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Grupos de idade</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
                <w:iCs/>
                <w:color w:val="000000"/>
                <w:lang w:val="pt-BR" w:eastAsia="en-US"/>
              </w:rPr>
            </w:pPr>
            <w:r w:rsidRPr="00A90C53">
              <w:rPr>
                <w:rFonts w:ascii="Times New Roman" w:hAnsi="Times New Roman"/>
                <w:i/>
                <w:iCs/>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18-24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7.823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23.306.033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14,1 [12,6; 15,5]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25-29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6.498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14.851.817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18,1 [16,5; 19,7]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30-34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7.425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16.788.072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23,1 [21,4; 24,9]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35-39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6.844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14.855.019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29,6 [27,7; 31,4]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40-44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5.973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13.225.702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37,4 [35,3; 39,4]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45-49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5.432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13.197.422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44,9 [42,7; 47,2]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50-54</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4.814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12.402.142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53,3 [50,8; 55,8]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55-59</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4.216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11.274.420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61,4 [58,8; 64,0]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60+</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11.177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26.407.831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74,2 [72,9; 75,5]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Sexo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masculino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25.920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68.916.470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39,4 [38,5; 40,4]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feminino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34.282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77.391.988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40,5 [39,7; 41,3]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Grande Região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Sudeste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14.294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64.074.682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43,5 [42,4; 44,6]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Norte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12.536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10.885.968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28,2 [26,9; 29,5]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Nordeste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18.305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38.947.575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35,8 [34,7; 36,9]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Sul</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7.548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21.624.664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43,8 [42,3; 45,4]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Centro-Oeste</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7.519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10.775.569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38,3 [36,9; 39,6]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Cor ou raça</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Branca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24.106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69.441.261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41,6 [40,6; 42,6]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Preta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5.631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13.454.163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42,8 [40,7; 45,0]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Amarela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533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1.371.822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37,9 [30,6; 45,1]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Parda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29.512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61.418.883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37,7 [36,8; 38,6]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Indígena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417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619.019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32,6 [24,8; 40,4]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Nível de instrução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Sem instrução e fundamental incompleto</w:t>
            </w:r>
          </w:p>
        </w:tc>
        <w:tc>
          <w:tcPr>
            <w:tcW w:w="1116"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24.083 </w:t>
            </w:r>
          </w:p>
        </w:tc>
        <w:tc>
          <w:tcPr>
            <w:tcW w:w="2378"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56.960.795 </w:t>
            </w:r>
          </w:p>
        </w:tc>
        <w:tc>
          <w:tcPr>
            <w:tcW w:w="3484" w:type="dxa"/>
            <w:shd w:val="clear" w:color="auto" w:fill="auto"/>
            <w:noWrap/>
            <w:vAlign w:val="center"/>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52,6 [51,6; 53,7]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Fundamental completo e médio incompleto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9.215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22.715.539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33,8 [32,1; 35,6]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Médio completo e superior incompleto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19.149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47.995.480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30,0 [28,8; 31,2]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Superior completo</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7.755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18.636.644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34,3 [32,4; 36,1] </w:t>
            </w:r>
          </w:p>
        </w:tc>
      </w:tr>
      <w:tr w:rsidR="00E656AC" w:rsidRPr="008569A9" w:rsidTr="009D0705">
        <w:trPr>
          <w:trHeight w:val="20"/>
        </w:trPr>
        <w:tc>
          <w:tcPr>
            <w:tcW w:w="4616" w:type="dxa"/>
            <w:shd w:val="clear" w:color="auto" w:fill="auto"/>
            <w:noWrap/>
            <w:hideMark/>
          </w:tcPr>
          <w:p w:rsidR="00E656AC" w:rsidRPr="00A90C53" w:rsidRDefault="00E656AC" w:rsidP="009D0705">
            <w:pPr>
              <w:spacing w:before="0" w:after="0" w:line="240" w:lineRule="auto"/>
              <w:jc w:val="left"/>
              <w:rPr>
                <w:rFonts w:ascii="Times New Roman" w:hAnsi="Times New Roman"/>
                <w:b/>
                <w:bCs/>
                <w:color w:val="000000"/>
                <w:lang w:val="pt-BR" w:eastAsia="en-US"/>
              </w:rPr>
            </w:pPr>
            <w:r w:rsidRPr="00A90C53">
              <w:rPr>
                <w:rFonts w:ascii="Times New Roman" w:hAnsi="Times New Roman"/>
                <w:b/>
                <w:bCs/>
                <w:color w:val="000000"/>
                <w:lang w:val="pt-BR" w:eastAsia="en-US"/>
              </w:rPr>
              <w:t>Condição na força de trabalho</w:t>
            </w:r>
          </w:p>
        </w:tc>
        <w:tc>
          <w:tcPr>
            <w:tcW w:w="1116"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2378"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c>
          <w:tcPr>
            <w:tcW w:w="3484" w:type="dxa"/>
            <w:shd w:val="clear" w:color="auto" w:fill="auto"/>
            <w:noWrap/>
            <w:hideMark/>
          </w:tcPr>
          <w:p w:rsidR="00E656AC" w:rsidRPr="00A90C53" w:rsidRDefault="00E656AC" w:rsidP="009D0705">
            <w:pPr>
              <w:spacing w:before="0" w:after="0" w:line="240" w:lineRule="auto"/>
              <w:jc w:val="center"/>
              <w:rPr>
                <w:rFonts w:ascii="Times New Roman" w:hAnsi="Times New Roman"/>
                <w:color w:val="000000"/>
                <w:lang w:val="pt-BR" w:eastAsia="en-US"/>
              </w:rPr>
            </w:pPr>
            <w:r w:rsidRPr="00A90C53">
              <w:rPr>
                <w:rFonts w:ascii="Times New Roman" w:hAnsi="Times New Roman"/>
                <w:color w:val="000000"/>
                <w:lang w:val="pt-BR" w:eastAsia="en-US"/>
              </w:rPr>
              <w:t> </w:t>
            </w:r>
          </w:p>
        </w:tc>
      </w:tr>
      <w:tr w:rsidR="00E656AC" w:rsidRPr="00A90C53" w:rsidTr="009D0705">
        <w:trPr>
          <w:trHeight w:val="20"/>
        </w:trPr>
        <w:tc>
          <w:tcPr>
            <w:tcW w:w="4616" w:type="dxa"/>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Na força</w:t>
            </w:r>
          </w:p>
        </w:tc>
        <w:tc>
          <w:tcPr>
            <w:tcW w:w="1116"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38.420 </w:t>
            </w:r>
          </w:p>
        </w:tc>
        <w:tc>
          <w:tcPr>
            <w:tcW w:w="2378"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95.052.182 </w:t>
            </w:r>
          </w:p>
        </w:tc>
        <w:tc>
          <w:tcPr>
            <w:tcW w:w="3484" w:type="dxa"/>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33,3 [32,4; 34,1] </w:t>
            </w:r>
          </w:p>
        </w:tc>
      </w:tr>
      <w:tr w:rsidR="00E656AC" w:rsidRPr="00A90C53" w:rsidTr="009D0705">
        <w:trPr>
          <w:trHeight w:val="20"/>
        </w:trPr>
        <w:tc>
          <w:tcPr>
            <w:tcW w:w="4616" w:type="dxa"/>
            <w:tcBorders>
              <w:bottom w:val="single" w:sz="4" w:space="0" w:color="auto"/>
            </w:tcBorders>
            <w:shd w:val="clear" w:color="auto" w:fill="auto"/>
            <w:noWrap/>
            <w:hideMark/>
          </w:tcPr>
          <w:p w:rsidR="00E656AC" w:rsidRPr="00A90C53" w:rsidRDefault="00E656AC" w:rsidP="009D0705">
            <w:pPr>
              <w:spacing w:before="0" w:after="0" w:line="240" w:lineRule="auto"/>
              <w:ind w:firstLine="150"/>
              <w:jc w:val="left"/>
              <w:rPr>
                <w:rFonts w:ascii="Times New Roman" w:hAnsi="Times New Roman"/>
                <w:i/>
                <w:iCs/>
                <w:color w:val="000000"/>
                <w:lang w:val="pt-BR" w:eastAsia="en-US"/>
              </w:rPr>
            </w:pPr>
            <w:r w:rsidRPr="00A90C53">
              <w:rPr>
                <w:rFonts w:ascii="Times New Roman" w:hAnsi="Times New Roman"/>
                <w:i/>
                <w:iCs/>
                <w:color w:val="000000"/>
                <w:lang w:val="pt-BR" w:eastAsia="en-US"/>
              </w:rPr>
              <w:t>Fora da força</w:t>
            </w:r>
          </w:p>
        </w:tc>
        <w:tc>
          <w:tcPr>
            <w:tcW w:w="1116"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21.782 </w:t>
            </w:r>
          </w:p>
        </w:tc>
        <w:tc>
          <w:tcPr>
            <w:tcW w:w="2378"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51.256.276 </w:t>
            </w:r>
          </w:p>
        </w:tc>
        <w:tc>
          <w:tcPr>
            <w:tcW w:w="3484" w:type="dxa"/>
            <w:tcBorders>
              <w:bottom w:val="single" w:sz="4" w:space="0" w:color="auto"/>
            </w:tcBorders>
            <w:shd w:val="clear" w:color="auto" w:fill="auto"/>
            <w:noWrap/>
            <w:vAlign w:val="center"/>
            <w:hideMark/>
          </w:tcPr>
          <w:p w:rsidR="00E656AC" w:rsidRPr="00A90C53" w:rsidRDefault="00E656AC" w:rsidP="009D0705">
            <w:pPr>
              <w:spacing w:before="0" w:after="0" w:line="240" w:lineRule="auto"/>
              <w:jc w:val="center"/>
              <w:rPr>
                <w:rFonts w:ascii="Times New Roman" w:hAnsi="Times New Roman"/>
                <w:iCs/>
                <w:color w:val="000000"/>
                <w:lang w:val="pt-BR" w:eastAsia="en-US"/>
              </w:rPr>
            </w:pPr>
            <w:r w:rsidRPr="00A90C53">
              <w:rPr>
                <w:rFonts w:ascii="Times New Roman" w:hAnsi="Times New Roman"/>
                <w:iCs/>
                <w:color w:val="000000"/>
                <w:lang w:val="pt-BR" w:eastAsia="en-US"/>
              </w:rPr>
              <w:t xml:space="preserve">52,5 [51,4; 53,6] </w:t>
            </w:r>
          </w:p>
        </w:tc>
      </w:tr>
    </w:tbl>
    <w:p w:rsidR="00E656AC" w:rsidRPr="00A90C53" w:rsidRDefault="00E656AC" w:rsidP="00E656AC">
      <w:pPr>
        <w:spacing w:before="0" w:after="0" w:line="240" w:lineRule="auto"/>
        <w:rPr>
          <w:rFonts w:ascii="Times New Roman" w:hAnsi="Times New Roman"/>
          <w:b/>
          <w:color w:val="000000"/>
          <w:lang w:val="pt-BR"/>
        </w:rPr>
      </w:pPr>
      <w:r w:rsidRPr="00A90C53">
        <w:rPr>
          <w:rFonts w:ascii="Times New Roman" w:hAnsi="Times New Roman"/>
          <w:b/>
          <w:color w:val="000000"/>
          <w:lang w:val="pt-BR"/>
        </w:rPr>
        <w:t>Fonte: IBGE, Pesquisa Nacional de Saúde 2013</w:t>
      </w:r>
    </w:p>
    <w:p w:rsidR="00E656AC"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Tabela 3 apresenta o exponencial dos coeficientes estimados para cada categoria de cada uma das variáveis selecionadas para o modelo final. Para as variáveis que não entram no modelo com interação (Grande Região, cor ou raça, nível de instrução e condição na força de trabalho), os indicadores apresentados se referem à Razão de Chances (RC) de pertencimento ao grupo de risco por condições pré-existentes para estas variáveis, comparando cada categoria com a categoria de referência. Para as variáveis que entram no modelo através de interações, a interpretação dos coeficientes deve considerar ambas as variáveis conjuntamente.</w:t>
      </w:r>
    </w:p>
    <w:p w:rsidR="00E656AC" w:rsidRDefault="00E656AC">
      <w:pPr>
        <w:suppressAutoHyphens w:val="0"/>
        <w:spacing w:before="0" w:after="0" w:line="240" w:lineRule="auto"/>
        <w:jc w:val="left"/>
        <w:rPr>
          <w:rFonts w:ascii="Times New Roman" w:hAnsi="Times New Roman"/>
          <w:color w:val="000000" w:themeColor="text1"/>
          <w:lang w:val="pt-BR"/>
        </w:rPr>
      </w:pPr>
      <w:r>
        <w:rPr>
          <w:rFonts w:ascii="Times New Roman" w:hAnsi="Times New Roman"/>
          <w:color w:val="000000" w:themeColor="text1"/>
          <w:lang w:val="pt-BR"/>
        </w:rPr>
        <w:br w:type="page"/>
      </w:r>
    </w:p>
    <w:p w:rsidR="00E656AC" w:rsidRPr="006E2024" w:rsidRDefault="00E656AC" w:rsidP="00E656AC">
      <w:pPr>
        <w:spacing w:before="0" w:after="0" w:line="240" w:lineRule="auto"/>
        <w:rPr>
          <w:rFonts w:ascii="Times New Roman" w:hAnsi="Times New Roman"/>
          <w:b/>
          <w:color w:val="000000"/>
          <w:lang w:val="pt-BR"/>
        </w:rPr>
      </w:pPr>
      <w:r w:rsidRPr="006E2024">
        <w:rPr>
          <w:rFonts w:ascii="Times New Roman" w:hAnsi="Times New Roman"/>
          <w:b/>
          <w:color w:val="000000"/>
          <w:lang w:val="pt-BR"/>
        </w:rPr>
        <w:lastRenderedPageBreak/>
        <w:t>Tabela 3 – Exponencial dos coeficientes estimados, intervalos de confiança e p-valor segundo variáveis ajustadas no modelo de regressão logística de morbidades e fatores de risco associados a COVID-19 – Brasil, 2013</w:t>
      </w:r>
    </w:p>
    <w:tbl>
      <w:tblPr>
        <w:tblW w:w="10022" w:type="dxa"/>
        <w:tblLook w:val="04A0" w:firstRow="1" w:lastRow="0" w:firstColumn="1" w:lastColumn="0" w:noHBand="0" w:noVBand="1"/>
      </w:tblPr>
      <w:tblGrid>
        <w:gridCol w:w="4590"/>
        <w:gridCol w:w="1816"/>
        <w:gridCol w:w="1980"/>
        <w:gridCol w:w="1636"/>
      </w:tblGrid>
      <w:tr w:rsidR="00E656AC" w:rsidRPr="006E2024" w:rsidTr="009D0705">
        <w:trPr>
          <w:trHeight w:val="20"/>
        </w:trPr>
        <w:tc>
          <w:tcPr>
            <w:tcW w:w="4590"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Variável</w:t>
            </w:r>
          </w:p>
        </w:tc>
        <w:tc>
          <w:tcPr>
            <w:tcW w:w="1816"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proofErr w:type="spellStart"/>
            <w:r w:rsidRPr="006E2024">
              <w:rPr>
                <w:rFonts w:ascii="Times New Roman" w:hAnsi="Times New Roman"/>
                <w:b/>
                <w:bCs/>
                <w:color w:val="000000"/>
                <w:lang w:val="pt-BR" w:eastAsia="en-US"/>
              </w:rPr>
              <w:t>exp</w:t>
            </w:r>
            <w:proofErr w:type="spellEnd"/>
            <w:r w:rsidRPr="006E2024">
              <w:rPr>
                <w:rFonts w:ascii="Times New Roman" w:hAnsi="Times New Roman"/>
                <w:b/>
                <w:bCs/>
                <w:color w:val="000000"/>
                <w:lang w:val="pt-BR" w:eastAsia="en-US"/>
              </w:rPr>
              <w:t xml:space="preserve">(coeficiente) </w:t>
            </w:r>
          </w:p>
        </w:tc>
        <w:tc>
          <w:tcPr>
            <w:tcW w:w="1980"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Intervalos de confiança (95%)</w:t>
            </w:r>
          </w:p>
        </w:tc>
        <w:tc>
          <w:tcPr>
            <w:tcW w:w="1636" w:type="dxa"/>
            <w:tcBorders>
              <w:top w:val="single" w:sz="4" w:space="0" w:color="auto"/>
              <w:bottom w:val="single" w:sz="4" w:space="0" w:color="auto"/>
            </w:tcBorders>
            <w:shd w:val="clear" w:color="auto" w:fill="auto"/>
            <w:noWrap/>
            <w:vAlign w:val="center"/>
            <w:hideMark/>
          </w:tcPr>
          <w:p w:rsidR="00E656AC" w:rsidRPr="006E2024" w:rsidRDefault="00E656AC" w:rsidP="009D0705">
            <w:pPr>
              <w:spacing w:before="0" w:after="0" w:line="240" w:lineRule="auto"/>
              <w:jc w:val="center"/>
              <w:rPr>
                <w:rFonts w:ascii="Times New Roman" w:hAnsi="Times New Roman"/>
                <w:b/>
                <w:bCs/>
                <w:color w:val="000000"/>
                <w:lang w:val="pt-BR" w:eastAsia="en-US"/>
              </w:rPr>
            </w:pPr>
            <w:r w:rsidRPr="006E2024">
              <w:rPr>
                <w:rFonts w:ascii="Times New Roman" w:hAnsi="Times New Roman"/>
                <w:b/>
                <w:bCs/>
                <w:color w:val="000000"/>
                <w:lang w:val="pt-BR" w:eastAsia="en-US"/>
              </w:rPr>
              <w:t>p-valor</w:t>
            </w:r>
          </w:p>
        </w:tc>
      </w:tr>
      <w:tr w:rsidR="00E656AC" w:rsidRPr="006E2024" w:rsidTr="009D0705">
        <w:trPr>
          <w:trHeight w:val="20"/>
        </w:trPr>
        <w:tc>
          <w:tcPr>
            <w:tcW w:w="4590" w:type="dxa"/>
            <w:tcBorders>
              <w:top w:val="single" w:sz="4" w:space="0" w:color="auto"/>
            </w:tcBorders>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Intercepto</w:t>
            </w:r>
          </w:p>
        </w:tc>
        <w:tc>
          <w:tcPr>
            <w:tcW w:w="1816"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0,16</w:t>
            </w:r>
          </w:p>
        </w:tc>
        <w:tc>
          <w:tcPr>
            <w:tcW w:w="1980"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0,13, 0,19</w:t>
            </w:r>
          </w:p>
        </w:tc>
        <w:tc>
          <w:tcPr>
            <w:tcW w:w="1636" w:type="dxa"/>
            <w:tcBorders>
              <w:top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Grupos de idade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18-24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25-29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1,49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1,17, 1,90</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30-34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1,61</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1,29, 2,01</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35-39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2,51</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2,02, 3,13</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40-44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3,17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2,54, 3,97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45-49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4,00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3,21, 4,99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50-54</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6,20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4,97, 7,74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55-59</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7,66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5,94, 9,87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60+</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10,2, 15,4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Sexo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masculino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0,59, 0,96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0,02</w:t>
            </w:r>
          </w:p>
        </w:tc>
      </w:tr>
      <w:tr w:rsidR="00E656AC" w:rsidRPr="008569A9"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Grupos de idade x sexo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25-29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0,63, 1,19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0,4</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30-34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1,38</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1,02, 1,86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0,037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35-39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0,81, 1,48</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40-44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1,33</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0,99, 1,79</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0,059</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45-49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1,47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1,09, 1,98</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0,012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50-54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1,14</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0,84, 1,56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0,4</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55-59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1,37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0,99, 1,90</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0,057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 xml:space="preserve">60+ </w:t>
            </w:r>
            <w:r w:rsidRPr="006E2024">
              <w:rPr>
                <w:rFonts w:ascii="Times New Roman" w:hAnsi="Times New Roman"/>
                <w:bCs/>
                <w:color w:val="000000"/>
                <w:lang w:val="pt-BR" w:eastAsia="en-US"/>
              </w:rPr>
              <w:t>x</w:t>
            </w:r>
            <w:r w:rsidRPr="006E2024">
              <w:rPr>
                <w:rFonts w:ascii="Times New Roman" w:hAnsi="Times New Roman"/>
                <w:i/>
                <w:iCs/>
                <w:color w:val="000000"/>
                <w:lang w:val="pt-BR" w:eastAsia="en-US"/>
              </w:rPr>
              <w:t xml:space="preserve"> feminino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1,40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1,06, 1,85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i/>
                <w:iCs/>
                <w:color w:val="000000"/>
                <w:lang w:val="pt-BR" w:eastAsia="en-US"/>
              </w:rPr>
            </w:pPr>
            <w:r w:rsidRPr="006E2024">
              <w:rPr>
                <w:rFonts w:ascii="Times New Roman" w:hAnsi="Times New Roman"/>
                <w:i/>
                <w:iCs/>
                <w:color w:val="000000"/>
                <w:lang w:val="pt-BR" w:eastAsia="en-US"/>
              </w:rPr>
              <w:t>0,017</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Grande Região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Sudeste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Norte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0,55</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0,50, 0,61</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Nordeste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0,70</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0,65, 0,76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Sul</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0,96, 1,17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Centro-Oeste</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0,86</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0,78, 0,94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Cor ou raça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Branca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Preta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1,18</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1,05, 1,32</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Amarela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0,92</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0,67, 1,26</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Parda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1,01, 1,17</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0,022</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Indígena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0,89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0,59, 1,35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0,6</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Nível de instrução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Superior 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Sem instrução e fundamental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1,47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1,32, 1,65</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Fundamental completo e médio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1,27</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1,12, 1,44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Médio completo e superior incompleto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1,19</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1,06, 1,34</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0,003</w:t>
            </w:r>
          </w:p>
        </w:tc>
      </w:tr>
      <w:tr w:rsidR="00E656AC" w:rsidRPr="008569A9" w:rsidTr="009D0705">
        <w:trPr>
          <w:trHeight w:val="20"/>
        </w:trPr>
        <w:tc>
          <w:tcPr>
            <w:tcW w:w="4590" w:type="dxa"/>
            <w:shd w:val="clear" w:color="auto" w:fill="auto"/>
            <w:noWrap/>
            <w:hideMark/>
          </w:tcPr>
          <w:p w:rsidR="00E656AC" w:rsidRPr="006E2024" w:rsidRDefault="00E656AC" w:rsidP="009D0705">
            <w:pPr>
              <w:spacing w:before="0" w:after="0" w:line="240" w:lineRule="auto"/>
              <w:jc w:val="left"/>
              <w:rPr>
                <w:rFonts w:ascii="Times New Roman" w:hAnsi="Times New Roman"/>
                <w:b/>
                <w:bCs/>
                <w:color w:val="000000"/>
                <w:lang w:val="pt-BR" w:eastAsia="en-US"/>
              </w:rPr>
            </w:pPr>
            <w:r w:rsidRPr="006E2024">
              <w:rPr>
                <w:rFonts w:ascii="Times New Roman" w:hAnsi="Times New Roman"/>
                <w:b/>
                <w:bCs/>
                <w:color w:val="000000"/>
                <w:lang w:val="pt-BR" w:eastAsia="en-US"/>
              </w:rPr>
              <w:t>Condição na força de trabalho</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Na força</w:t>
            </w:r>
          </w:p>
        </w:tc>
        <w:tc>
          <w:tcPr>
            <w:tcW w:w="181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980"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w:t>
            </w:r>
          </w:p>
        </w:tc>
        <w:tc>
          <w:tcPr>
            <w:tcW w:w="1636" w:type="dxa"/>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 </w:t>
            </w:r>
          </w:p>
        </w:tc>
      </w:tr>
      <w:tr w:rsidR="00E656AC" w:rsidRPr="006E2024" w:rsidTr="009D0705">
        <w:trPr>
          <w:trHeight w:val="20"/>
        </w:trPr>
        <w:tc>
          <w:tcPr>
            <w:tcW w:w="4590" w:type="dxa"/>
            <w:tcBorders>
              <w:bottom w:val="single" w:sz="4" w:space="0" w:color="auto"/>
            </w:tcBorders>
            <w:shd w:val="clear" w:color="auto" w:fill="auto"/>
            <w:noWrap/>
            <w:hideMark/>
          </w:tcPr>
          <w:p w:rsidR="00E656AC" w:rsidRPr="006E2024" w:rsidRDefault="00E656AC" w:rsidP="009D0705">
            <w:pPr>
              <w:spacing w:before="0" w:after="0" w:line="240" w:lineRule="auto"/>
              <w:ind w:firstLine="150"/>
              <w:jc w:val="left"/>
              <w:rPr>
                <w:rFonts w:ascii="Times New Roman" w:hAnsi="Times New Roman"/>
                <w:i/>
                <w:iCs/>
                <w:color w:val="000000"/>
                <w:lang w:val="pt-BR" w:eastAsia="en-US"/>
              </w:rPr>
            </w:pPr>
            <w:r w:rsidRPr="006E2024">
              <w:rPr>
                <w:rFonts w:ascii="Times New Roman" w:hAnsi="Times New Roman"/>
                <w:i/>
                <w:iCs/>
                <w:color w:val="000000"/>
                <w:lang w:val="pt-BR" w:eastAsia="en-US"/>
              </w:rPr>
              <w:t>Fora da força</w:t>
            </w:r>
          </w:p>
        </w:tc>
        <w:tc>
          <w:tcPr>
            <w:tcW w:w="1816"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1,19</w:t>
            </w:r>
          </w:p>
        </w:tc>
        <w:tc>
          <w:tcPr>
            <w:tcW w:w="1980"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1,10, 1,28</w:t>
            </w:r>
          </w:p>
        </w:tc>
        <w:tc>
          <w:tcPr>
            <w:tcW w:w="1636" w:type="dxa"/>
            <w:tcBorders>
              <w:bottom w:val="single" w:sz="4" w:space="0" w:color="auto"/>
            </w:tcBorders>
            <w:shd w:val="clear" w:color="auto" w:fill="auto"/>
            <w:noWrap/>
            <w:hideMark/>
          </w:tcPr>
          <w:p w:rsidR="00E656AC" w:rsidRPr="006E2024" w:rsidRDefault="00E656AC" w:rsidP="009D0705">
            <w:pPr>
              <w:spacing w:before="0" w:after="0" w:line="240" w:lineRule="auto"/>
              <w:jc w:val="center"/>
              <w:rPr>
                <w:rFonts w:ascii="Times New Roman" w:hAnsi="Times New Roman"/>
                <w:color w:val="000000"/>
                <w:lang w:val="pt-BR" w:eastAsia="en-US"/>
              </w:rPr>
            </w:pPr>
            <w:r w:rsidRPr="006E2024">
              <w:rPr>
                <w:rFonts w:ascii="Times New Roman" w:hAnsi="Times New Roman"/>
                <w:color w:val="000000"/>
                <w:lang w:val="pt-BR" w:eastAsia="en-US"/>
              </w:rPr>
              <w:t>&lt;0,001</w:t>
            </w:r>
          </w:p>
        </w:tc>
      </w:tr>
    </w:tbl>
    <w:p w:rsidR="00E656AC" w:rsidRPr="006E2024" w:rsidRDefault="00E656AC" w:rsidP="00E656AC">
      <w:pPr>
        <w:spacing w:before="0" w:after="0" w:line="240" w:lineRule="auto"/>
        <w:rPr>
          <w:rFonts w:ascii="Times New Roman" w:hAnsi="Times New Roman"/>
          <w:b/>
          <w:color w:val="000000"/>
          <w:lang w:val="pt-BR"/>
        </w:rPr>
      </w:pPr>
      <w:r w:rsidRPr="006E2024">
        <w:rPr>
          <w:rFonts w:ascii="Times New Roman" w:hAnsi="Times New Roman"/>
          <w:b/>
          <w:color w:val="000000"/>
          <w:lang w:val="pt-BR"/>
        </w:rPr>
        <w:t>Fonte: IBGE, Pesquisa Nacional de Saúde 2013</w:t>
      </w:r>
    </w:p>
    <w:p w:rsidR="00B601FA" w:rsidRPr="00944D78" w:rsidRDefault="00B601FA">
      <w:pPr>
        <w:rPr>
          <w:rFonts w:ascii="Times New Roman" w:hAnsi="Times New Roman"/>
          <w:color w:val="000000" w:themeColor="text1"/>
          <w:lang w:val="pt-BR"/>
        </w:rPr>
      </w:pPr>
    </w:p>
    <w:p w:rsidR="00B601FA" w:rsidRPr="00944D78" w:rsidRDefault="004E3D9B">
      <w:pPr>
        <w:rPr>
          <w:color w:val="000000" w:themeColor="text1"/>
          <w:lang w:val="pt-BR"/>
        </w:rPr>
      </w:pPr>
      <w:r w:rsidRPr="00944D78">
        <w:rPr>
          <w:rFonts w:ascii="Times New Roman" w:hAnsi="Times New Roman"/>
          <w:color w:val="000000" w:themeColor="text1"/>
          <w:lang w:val="pt-BR"/>
        </w:rPr>
        <w:lastRenderedPageBreak/>
        <w:t xml:space="preserve">Os coeficientes para a variável idade indicam a RC por idade para os homens, e confirmam os resultados observados na Tabela 1, apontando que a chance de estar no grupo de risco por condições pré-existentes, entre os homens, é crescente com a idade. A chance de um homem com idade entre 45 e 49 anos estar no grupo de risco por condições pré-existentes é 4 vezes maior que a chance de um indivíduo com idade entre 18 e 24 anos. Quando o grupo de referência é comparado com o grupo de pessoas com 60 anos ou mais, vê-se que os homens idosos têm 12,5 vezes mais chance de estar no grupo de risco por condições pré-existentes. A RC para a variável sexo indica uma chance 25% menor para as mulheres na categoria de idade de referência (18-24). Contudo, como variáveis sexo e idade interagem, a relação entre as chances por sexo dependem da idade. O exponencial dos coeficientes do termo de interação grupos de idade </w:t>
      </w:r>
      <w:r w:rsidRPr="00944D78">
        <w:rPr>
          <w:rFonts w:ascii="Times New Roman" w:hAnsi="Times New Roman"/>
          <w:i/>
          <w:color w:val="000000" w:themeColor="text1"/>
          <w:lang w:val="pt-BR"/>
        </w:rPr>
        <w:t>versus</w:t>
      </w:r>
      <w:r w:rsidRPr="00944D78">
        <w:rPr>
          <w:rFonts w:ascii="Times New Roman" w:hAnsi="Times New Roman"/>
          <w:color w:val="000000" w:themeColor="text1"/>
          <w:lang w:val="pt-BR"/>
        </w:rPr>
        <w:t xml:space="preserve"> sexo medem a razão entre as Razões de Chances de mulheres e homens para cada grupo de idade, indicando que a RC é maior para as mulheres de 45-49 anos e menor para o grupo 25-29 em relação à RC destes mesmos grupos etários para os homens.</w:t>
      </w:r>
    </w:p>
    <w:p w:rsidR="00B601FA" w:rsidRPr="00944D78" w:rsidRDefault="004E3D9B">
      <w:pPr>
        <w:rPr>
          <w:color w:val="000000" w:themeColor="text1"/>
          <w:lang w:val="pt-BR"/>
        </w:rPr>
      </w:pPr>
      <w:r w:rsidRPr="00944D78">
        <w:rPr>
          <w:rFonts w:ascii="Times New Roman" w:hAnsi="Times New Roman"/>
          <w:color w:val="000000" w:themeColor="text1"/>
          <w:lang w:val="pt-BR"/>
        </w:rPr>
        <w:t>Em comparação com a Região Sudeste, moradores da Região Sul têm chance ligeiramente maior de pertencer ao grupo de risco por condições pré-existentes – 1,06[</w:t>
      </w:r>
      <w:r w:rsidRPr="00944D78">
        <w:rPr>
          <w:rFonts w:ascii="Times New Roman" w:hAnsi="Times New Roman"/>
          <w:color w:val="000000" w:themeColor="text1"/>
          <w:lang w:val="pt-BR" w:eastAsia="en-US"/>
        </w:rPr>
        <w:t>0,96; 1,17] – enquanto nas Regiões Centro-Oeste, Nordeste e Norte essas RC são menores,  0,86[0,78; 0,94], 0,70[0,65; 0,76] e 0,55[0,50; 0,61], respectivamente.</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Em relação ao grupos de cor ou raça, pretos e pardos têm mais chance de estarem no grupo de risco por condições pré-existentes que brancos, com RC de 1,18[1,05; 1,32] e 1,09[1,01; 1,17], respectivamente. A pouca representatividade na amostra da pesquisa, resultando em altos intervalos de confiança, impossibilita a inferência para os demais grupos de cor ou raça.</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As Razões de Chance para a variável nível de instrução indicam que quanto maior o nível de instrução menor é a chance de estar no grupo de risco por condições pré-existentes. Indivíduos sem instrução ou com ensino fundamental incompleto têm 47%[32%, 65%] mais chance de estar no grupo de risco por condições pré-existentes do que os com nível superior completo.</w:t>
      </w:r>
    </w:p>
    <w:p w:rsidR="00B601FA" w:rsidRPr="00944D78" w:rsidRDefault="004E3D9B">
      <w:pPr>
        <w:rPr>
          <w:rFonts w:ascii="Times New Roman" w:hAnsi="Times New Roman"/>
          <w:color w:val="000000" w:themeColor="text1"/>
          <w:lang w:val="pt-BR" w:eastAsia="en-US"/>
        </w:rPr>
      </w:pPr>
      <w:r w:rsidRPr="00944D78">
        <w:rPr>
          <w:rFonts w:ascii="Times New Roman" w:hAnsi="Times New Roman"/>
          <w:color w:val="000000" w:themeColor="text1"/>
          <w:lang w:val="pt-BR" w:eastAsia="en-US"/>
        </w:rPr>
        <w:t>Indivíduos fora da força de trabalho (pessoas que não estavam ocupadas nem desocupadas) tinham uma chance de pertencer ao grupo de risco por condições pré-existentes 19% maior que aqueles na força de trabalho (pessoas ocupadas e as pessoas desocupadas).</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partir da imputação do indicador de pertencimento ou não ao grupo de risco por condições pré-existentes para todos os moradores da pesquisa com idade entre 18 e 59 anos, foi possível ter estimativas relacionadas à composição dos domicílios e a presença de pessoas no grupo de risco por condições pré-existentes. Conforme descrito na seção anterior, foram considerados como pertencentes ao grupo de risco os indivíduos com pelo menos uma </w:t>
      </w:r>
      <w:proofErr w:type="spellStart"/>
      <w:r w:rsidRPr="00944D78">
        <w:rPr>
          <w:rFonts w:ascii="Times New Roman" w:hAnsi="Times New Roman"/>
          <w:color w:val="000000" w:themeColor="text1"/>
          <w:lang w:val="pt-BR"/>
        </w:rPr>
        <w:t>comorbidade</w:t>
      </w:r>
      <w:proofErr w:type="spellEnd"/>
      <w:r w:rsidRPr="00944D78">
        <w:rPr>
          <w:rFonts w:ascii="Times New Roman" w:hAnsi="Times New Roman"/>
          <w:color w:val="000000" w:themeColor="text1"/>
          <w:lang w:val="pt-BR"/>
        </w:rPr>
        <w:t xml:space="preserve"> ou com mais de 60 anos.</w:t>
      </w: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Segundo os resultados da PNS, 13,2% da população tinha 60 anos ou mais, e 30,3% dos domicílios tinham pelo menos um morador com 60 anos ou mais. Considerando como grupo de risco tanto a presença de idosos como de pessoas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 o Brasil tinha, em 2013, 68,5% [67,8%; 69,1%] de pessoas vivendo em domicílios com pelo menos uma pessoa no grupo risco. O Gráfico 1 apresenta este percentual por Unidade da Federação, indicando importantes diferencias regionais. Tais valores situam-se entre 50% e 60% para as Unidades da Federação da Região Norte, chegando a mais de 70% em Minas Gerais, Espírito Santo, Rio de Janeiro, São Paulo, Paraná e Rio Grande do Sul.</w:t>
      </w:r>
    </w:p>
    <w:p w:rsidR="00E656AC" w:rsidRPr="00E656AC" w:rsidRDefault="00E656AC">
      <w:pPr>
        <w:rPr>
          <w:rFonts w:ascii="Times New Roman" w:hAnsi="Times New Roman"/>
          <w:b/>
          <w:lang w:val="pt-BR"/>
        </w:rPr>
      </w:pPr>
      <w:r>
        <w:rPr>
          <w:rFonts w:ascii="Times New Roman" w:hAnsi="Times New Roman"/>
          <w:b/>
          <w:lang w:val="pt-BR"/>
        </w:rPr>
        <w:t>Gráfico</w:t>
      </w:r>
      <w:r w:rsidRPr="002F3B1B">
        <w:rPr>
          <w:rFonts w:ascii="Times New Roman" w:hAnsi="Times New Roman"/>
          <w:b/>
          <w:lang w:val="pt-BR"/>
        </w:rPr>
        <w:t xml:space="preserve"> 1 – </w:t>
      </w:r>
      <w:r w:rsidRPr="00301BE2">
        <w:rPr>
          <w:rFonts w:ascii="Times New Roman" w:hAnsi="Times New Roman"/>
          <w:b/>
          <w:lang w:val="pt-BR"/>
        </w:rPr>
        <w:t>Prevalência</w:t>
      </w:r>
      <w:r>
        <w:rPr>
          <w:rFonts w:ascii="Times New Roman" w:hAnsi="Times New Roman"/>
          <w:b/>
          <w:lang w:val="pt-BR"/>
        </w:rPr>
        <w:t xml:space="preserve"> </w:t>
      </w:r>
      <w:r w:rsidRPr="002F3B1B">
        <w:rPr>
          <w:rFonts w:ascii="Times New Roman" w:hAnsi="Times New Roman"/>
          <w:b/>
          <w:lang w:val="pt-BR"/>
        </w:rPr>
        <w:t>(e intervalos de confiança)</w:t>
      </w:r>
      <w:r w:rsidRPr="00301BE2">
        <w:rPr>
          <w:rFonts w:ascii="Times New Roman" w:hAnsi="Times New Roman"/>
          <w:b/>
          <w:lang w:val="pt-BR"/>
        </w:rPr>
        <w:t xml:space="preserve"> de pelo menos uma condição médica pré-existente associada à COVID-19 (%)</w:t>
      </w:r>
      <w:r>
        <w:rPr>
          <w:rFonts w:ascii="Times New Roman" w:hAnsi="Times New Roman"/>
          <w:b/>
          <w:lang w:val="pt-BR"/>
        </w:rPr>
        <w:t xml:space="preserve"> </w:t>
      </w:r>
      <w:r w:rsidRPr="002F3B1B">
        <w:rPr>
          <w:rFonts w:ascii="Times New Roman" w:hAnsi="Times New Roman"/>
          <w:b/>
          <w:lang w:val="pt-BR"/>
        </w:rPr>
        <w:t>por grupos de idade</w:t>
      </w:r>
      <w:r>
        <w:rPr>
          <w:rFonts w:ascii="Times New Roman" w:hAnsi="Times New Roman"/>
          <w:b/>
          <w:lang w:val="pt-BR"/>
        </w:rPr>
        <w:t xml:space="preserve"> – Brasil, 2013</w:t>
      </w:r>
    </w:p>
    <w:p w:rsidR="00E656AC" w:rsidRPr="00944D78" w:rsidRDefault="00E656AC">
      <w:pPr>
        <w:rPr>
          <w:rFonts w:ascii="Times New Roman" w:hAnsi="Times New Roman"/>
          <w:color w:val="000000" w:themeColor="text1"/>
          <w:lang w:val="pt-BR"/>
        </w:rPr>
      </w:pPr>
      <w:r>
        <w:rPr>
          <w:rFonts w:ascii="Times New Roman" w:hAnsi="Times New Roman"/>
          <w:noProof/>
          <w:color w:val="000000" w:themeColor="text1"/>
          <w:lang w:val="pt-BR"/>
        </w:rPr>
        <w:drawing>
          <wp:inline distT="0" distB="0" distL="0" distR="0">
            <wp:extent cx="68580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1.eps"/>
                    <pic:cNvPicPr/>
                  </pic:nvPicPr>
                  <pic:blipFill>
                    <a:blip r:embed="rId8">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r w:rsidRPr="006E2024">
        <w:rPr>
          <w:rFonts w:ascii="Times New Roman" w:hAnsi="Times New Roman"/>
          <w:b/>
          <w:color w:val="000000"/>
          <w:lang w:val="pt-BR"/>
        </w:rPr>
        <w:t>Fonte: IBGE, Pesquisa Nacional de Saúde 2013</w:t>
      </w:r>
    </w:p>
    <w:p w:rsidR="00B601FA"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O Gráfico 2 mostra a proporção de pessoas vivendo com pelo menos um morador no grupo de risco para COVID-19 por idade, bem como os intervalos de confiança estimados. Esse percentual é maior ou igual a 50% para todas as idades, indicando que o número de pessoas vivendo em domicílios sem pessoas no grupo de risco é menor que o número de moradores em domicílios com pessoas no grupo de risco para todas as idades. Essa proporção é crescente com a idade, particularmente a partir dos 35 anos, sendo 100%, por definição, a partir dos 60 anos. O número de pessoas nos dois grupos em análise é mais próximo para crianças com até 5 anos e adultos com idade </w:t>
      </w:r>
      <w:r w:rsidRPr="00944D78">
        <w:rPr>
          <w:rFonts w:ascii="Times New Roman" w:hAnsi="Times New Roman"/>
          <w:color w:val="000000" w:themeColor="text1"/>
          <w:lang w:val="pt-BR"/>
        </w:rPr>
        <w:lastRenderedPageBreak/>
        <w:t>entre 25 e 35 anos. A proporção de indivíduos convivendo com pelo menos uma pessoa no grupo de risco é de mais de 60% para as idades entre 10 e 25 anos, atingindo quase 70% por volta dos 20 anos idade.</w:t>
      </w:r>
    </w:p>
    <w:p w:rsidR="00E656AC" w:rsidRDefault="00E656AC">
      <w:pPr>
        <w:rPr>
          <w:rFonts w:ascii="Times New Roman" w:hAnsi="Times New Roman"/>
          <w:b/>
          <w:lang w:val="pt-BR"/>
        </w:rPr>
      </w:pPr>
      <w:r>
        <w:rPr>
          <w:rFonts w:ascii="Times New Roman" w:hAnsi="Times New Roman"/>
          <w:b/>
          <w:lang w:val="pt-BR"/>
        </w:rPr>
        <w:t>Gráfico 2</w:t>
      </w:r>
      <w:r w:rsidRPr="002F3B1B">
        <w:rPr>
          <w:rFonts w:ascii="Times New Roman" w:hAnsi="Times New Roman"/>
          <w:b/>
          <w:lang w:val="pt-BR"/>
        </w:rPr>
        <w:t xml:space="preserve"> – </w:t>
      </w:r>
      <w:r>
        <w:rPr>
          <w:rFonts w:ascii="Times New Roman" w:hAnsi="Times New Roman"/>
          <w:b/>
          <w:lang w:val="pt-BR"/>
        </w:rPr>
        <w:t xml:space="preserve">Proporção </w:t>
      </w:r>
      <w:r w:rsidRPr="002F3B1B">
        <w:rPr>
          <w:rFonts w:ascii="Times New Roman" w:hAnsi="Times New Roman"/>
          <w:b/>
          <w:lang w:val="pt-BR"/>
        </w:rPr>
        <w:t>(e intervalos de confiança)</w:t>
      </w:r>
      <w:r>
        <w:rPr>
          <w:rFonts w:ascii="Times New Roman" w:hAnsi="Times New Roman"/>
          <w:b/>
          <w:lang w:val="pt-BR"/>
        </w:rPr>
        <w:t xml:space="preserve"> de pessoas vivendo com pelo menos um morador no grupo de </w:t>
      </w:r>
      <w:r w:rsidRPr="00AD44C3">
        <w:rPr>
          <w:rFonts w:ascii="Times New Roman" w:hAnsi="Times New Roman"/>
          <w:b/>
          <w:lang w:val="pt-BR"/>
        </w:rPr>
        <w:t xml:space="preserve">risco </w:t>
      </w:r>
      <w:r>
        <w:rPr>
          <w:rFonts w:ascii="Times New Roman" w:hAnsi="Times New Roman"/>
          <w:b/>
          <w:lang w:val="pt-BR"/>
        </w:rPr>
        <w:t xml:space="preserve">para COVID-19 por idade </w:t>
      </w:r>
      <w:r w:rsidRPr="00AD44C3">
        <w:rPr>
          <w:rFonts w:ascii="Times New Roman" w:hAnsi="Times New Roman"/>
          <w:b/>
          <w:lang w:val="pt-BR"/>
        </w:rPr>
        <w:t>– Brasil, 2013</w:t>
      </w:r>
    </w:p>
    <w:p w:rsidR="00E656AC" w:rsidRPr="00E656AC" w:rsidRDefault="00E656AC">
      <w:pPr>
        <w:rPr>
          <w:rFonts w:ascii="Times New Roman" w:hAnsi="Times New Roman"/>
          <w:b/>
          <w:lang w:val="pt-BR"/>
        </w:rPr>
      </w:pPr>
      <w:r>
        <w:rPr>
          <w:rFonts w:ascii="Times New Roman" w:hAnsi="Times New Roman"/>
          <w:noProof/>
          <w:color w:val="000000" w:themeColor="text1"/>
          <w:lang w:val="pt-BR"/>
        </w:rPr>
        <w:drawing>
          <wp:inline distT="0" distB="0" distL="0" distR="0">
            <wp:extent cx="6858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2.eps"/>
                    <pic:cNvPicPr/>
                  </pic:nvPicPr>
                  <pic:blipFill>
                    <a:blip r:embed="rId9">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r w:rsidRPr="006E2024">
        <w:rPr>
          <w:rFonts w:ascii="Times New Roman" w:hAnsi="Times New Roman"/>
          <w:b/>
          <w:color w:val="000000"/>
          <w:lang w:val="pt-BR"/>
        </w:rPr>
        <w:t>Fonte: IBGE, Pesquisa Nacional de Saúde 2013</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Discussão</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Os resultados deste trabalho mostram que existem importantes diferenciais demográficos e socioeconômicos associados à chance de pertencimento ao grupo de risco para COVID-19 no Brasil. A idade é o principal fator de risco para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à COVID-19, mas variáveis </w:t>
      </w:r>
      <w:proofErr w:type="spellStart"/>
      <w:r w:rsidRPr="00944D78">
        <w:rPr>
          <w:rFonts w:ascii="Times New Roman" w:hAnsi="Times New Roman"/>
          <w:color w:val="000000" w:themeColor="text1"/>
          <w:lang w:val="pt-BR"/>
        </w:rPr>
        <w:t>sociodemográficas</w:t>
      </w:r>
      <w:proofErr w:type="spellEnd"/>
      <w:r w:rsidRPr="00944D78">
        <w:rPr>
          <w:rFonts w:ascii="Times New Roman" w:hAnsi="Times New Roman"/>
          <w:color w:val="000000" w:themeColor="text1"/>
          <w:lang w:val="pt-BR"/>
        </w:rPr>
        <w:t xml:space="preserve"> têm também importantes impactos, em geral indicando maior risco para pessoas em categorias mais vulneráveis, como menos escolarizados e pretos e pardos. Tais resultados são consistentes com os de outros trabalhos que apontam para diferenciais na prevalência de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diabetes </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doença renal crônica</w:t>
      </w:r>
      <w:r w:rsidRPr="00944D78">
        <w:rPr>
          <w:rFonts w:ascii="Times New Roman" w:hAnsi="Times New Roman"/>
          <w:color w:val="000000" w:themeColor="text1"/>
          <w:vertAlign w:val="superscript"/>
          <w:lang w:val="pt-BR"/>
        </w:rPr>
        <w:t>34</w:t>
      </w:r>
      <w:r w:rsidRPr="00944D78">
        <w:rPr>
          <w:rFonts w:ascii="Times New Roman" w:hAnsi="Times New Roman"/>
          <w:color w:val="000000" w:themeColor="text1"/>
          <w:lang w:val="pt-BR"/>
        </w:rPr>
        <w:t xml:space="preserve"> e asma</w:t>
      </w:r>
      <w:r w:rsidRPr="00944D78">
        <w:rPr>
          <w:rFonts w:ascii="Times New Roman" w:hAnsi="Times New Roman"/>
          <w:color w:val="000000" w:themeColor="text1"/>
          <w:vertAlign w:val="superscript"/>
          <w:lang w:val="pt-BR"/>
        </w:rPr>
        <w:t>35</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A probabilidade de pertencimento ao grupo de risco por condições pré-existentes reflete as prevalências de cada uma dessas condições e sua associação com as variáveis explicativas analisadas. A prevalência de asma e diabetes </w:t>
      </w:r>
      <w:r w:rsidRPr="00944D78">
        <w:rPr>
          <w:rFonts w:ascii="Times New Roman" w:hAnsi="Times New Roman"/>
          <w:color w:val="000000" w:themeColor="text1"/>
          <w:lang w:val="pt-BR"/>
        </w:rPr>
        <w:lastRenderedPageBreak/>
        <w:t>é maior entre a população feminina, enquanto hipertensão arterial medida por instrumento e uso de medicamento é ligeiramente superior entre os homens. A prevalência de hipertensão arterial é alta em todas as idades, se comparada com a prevalência das demais condições analisadas. Para os adultos jovens (de 18 a 29 anos), a prevalência de asma tem importante participação na probabilidade de pertencimento ao grupo de risco por condições pré-existentes. Diabetes e doença do coração são mais prevalentes nos grupos populacionais mais velhos. Apesar dessa complexa interação, observa-se que a caracterização do grupo de risco por condições pré-existentes é, em grande medida, dada pela hipertensão arterial, que é a condição com maior prevalência.</w:t>
      </w:r>
    </w:p>
    <w:p w:rsidR="00B601FA" w:rsidRPr="00944D78" w:rsidRDefault="004E3D9B">
      <w:pPr>
        <w:rPr>
          <w:color w:val="000000" w:themeColor="text1"/>
          <w:lang w:val="pt-BR"/>
        </w:rPr>
      </w:pPr>
      <w:r w:rsidRPr="00944D78">
        <w:rPr>
          <w:rFonts w:ascii="Times New Roman" w:hAnsi="Times New Roman"/>
          <w:color w:val="000000" w:themeColor="text1"/>
          <w:lang w:val="pt-BR"/>
        </w:rPr>
        <w:t>Estudos têm reportado maior incidência dos fatores de risco para COVID-19 entre os menos escolarizados</w:t>
      </w:r>
      <w:r w:rsidRPr="00944D78">
        <w:rPr>
          <w:rFonts w:ascii="Times New Roman" w:hAnsi="Times New Roman"/>
          <w:color w:val="000000" w:themeColor="text1"/>
          <w:vertAlign w:val="superscript"/>
          <w:lang w:val="pt-BR"/>
        </w:rPr>
        <w:t>19,20</w:t>
      </w:r>
      <w:r w:rsidRPr="00944D78">
        <w:rPr>
          <w:rFonts w:ascii="Times New Roman" w:hAnsi="Times New Roman"/>
          <w:color w:val="000000" w:themeColor="text1"/>
          <w:lang w:val="pt-BR"/>
        </w:rPr>
        <w:t>. Este é um resultado esperado, uma vez que as populações menos escolarizadas estão concentradas nas idades mais avançadas, que são os grupos etários com maiores prevalências para as condições em questão. Os resultados deste trabalho mostram, contudo, que mesmo controlando por idade, sexo, e outras variáveis, a probabilidade de pertencimento ao grupo de risco por condições pré-existentes para COVID -19 é maior entre os grupos com mais baixos níveis educacionais. Estima-se que pessoas com as mesmas características, mas com o nível de instrução mais baixo, tenham, em média, 47% mais de chance de pertencer ao grupo de risco para COVID-19 do que aqueles com nível superior. A maior probabilidade de pessoas com menor escolaridade estarem no grupo de risco para COVID-19 é consistente, ainda, com resultados de outros trabalhos que indicam uma maior prevalência de hipertensão arterial</w:t>
      </w:r>
      <w:r w:rsidRPr="00944D78">
        <w:rPr>
          <w:rFonts w:ascii="Times New Roman" w:hAnsi="Times New Roman"/>
          <w:color w:val="000000" w:themeColor="text1"/>
          <w:vertAlign w:val="superscript"/>
          <w:lang w:val="pt-BR"/>
        </w:rPr>
        <w:t>21,22</w:t>
      </w:r>
      <w:r w:rsidRPr="00944D78">
        <w:rPr>
          <w:rFonts w:ascii="Times New Roman" w:hAnsi="Times New Roman"/>
          <w:color w:val="000000" w:themeColor="text1"/>
          <w:lang w:val="pt-BR"/>
        </w:rPr>
        <w:t xml:space="preserve">, diabetes </w:t>
      </w:r>
      <w:r w:rsidRPr="00944D78">
        <w:rPr>
          <w:rFonts w:ascii="Times New Roman" w:hAnsi="Times New Roman"/>
          <w:color w:val="000000" w:themeColor="text1"/>
          <w:vertAlign w:val="superscript"/>
          <w:lang w:val="pt-BR"/>
        </w:rPr>
        <w:t>23,24</w:t>
      </w:r>
      <w:r w:rsidRPr="00944D78">
        <w:rPr>
          <w:rFonts w:ascii="Times New Roman" w:hAnsi="Times New Roman"/>
          <w:color w:val="000000" w:themeColor="text1"/>
          <w:lang w:val="pt-BR"/>
        </w:rPr>
        <w:t xml:space="preserve"> e doença renal crônica</w:t>
      </w:r>
      <w:r w:rsidRPr="00944D78">
        <w:rPr>
          <w:rFonts w:ascii="Times New Roman" w:hAnsi="Times New Roman"/>
          <w:color w:val="000000" w:themeColor="text1"/>
          <w:vertAlign w:val="superscript"/>
          <w:lang w:val="pt-BR"/>
        </w:rPr>
        <w:t>34</w:t>
      </w:r>
      <w:r w:rsidRPr="00944D78">
        <w:rPr>
          <w:rFonts w:ascii="Times New Roman" w:hAnsi="Times New Roman"/>
          <w:color w:val="000000" w:themeColor="text1"/>
          <w:lang w:val="pt-BR"/>
        </w:rPr>
        <w:t xml:space="preserve"> neste grupo populacional.</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A prevalência de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em adultos maiores de 18 anos associadas à COVID-19 é semelhante entre brancos e pretos e ligeiramente menor entre os indivíduos que se declaram como pardo. Esse resultado é consistente com o encontrado em outros estudos utilizando a PNS que não encontraram diferença significativa da variável cor ou raça na prevalência dos fatores de risco para COVID-19</w:t>
      </w:r>
      <w:r w:rsidRPr="00944D78">
        <w:rPr>
          <w:rFonts w:ascii="Times New Roman" w:hAnsi="Times New Roman"/>
          <w:color w:val="000000" w:themeColor="text1"/>
          <w:vertAlign w:val="superscript"/>
          <w:lang w:val="pt-BR"/>
        </w:rPr>
        <w:t>19</w:t>
      </w:r>
      <w:r w:rsidRPr="00944D78">
        <w:rPr>
          <w:rFonts w:ascii="Times New Roman" w:hAnsi="Times New Roman"/>
          <w:color w:val="000000" w:themeColor="text1"/>
          <w:lang w:val="pt-BR"/>
        </w:rPr>
        <w:t xml:space="preserve"> ou encontraram pouca diferença em relação à prevalência de diabetes</w:t>
      </w:r>
      <w:r w:rsidRPr="00944D78">
        <w:rPr>
          <w:rFonts w:ascii="Times New Roman" w:hAnsi="Times New Roman"/>
          <w:color w:val="000000" w:themeColor="text1"/>
          <w:vertAlign w:val="superscript"/>
          <w:lang w:val="pt-BR"/>
        </w:rPr>
        <w:t>23</w:t>
      </w:r>
      <w:r w:rsidRPr="00944D78">
        <w:rPr>
          <w:rFonts w:ascii="Times New Roman" w:hAnsi="Times New Roman"/>
          <w:color w:val="000000" w:themeColor="text1"/>
          <w:lang w:val="pt-BR"/>
        </w:rPr>
        <w:t xml:space="preserve"> e hipertensão arterial</w:t>
      </w:r>
      <w:r w:rsidRPr="00944D78">
        <w:rPr>
          <w:rFonts w:ascii="Times New Roman" w:hAnsi="Times New Roman"/>
          <w:color w:val="000000" w:themeColor="text1"/>
          <w:vertAlign w:val="superscript"/>
          <w:lang w:val="pt-BR"/>
        </w:rPr>
        <w:t>22</w:t>
      </w:r>
      <w:r w:rsidRPr="00944D78">
        <w:rPr>
          <w:rFonts w:ascii="Times New Roman" w:hAnsi="Times New Roman"/>
          <w:color w:val="000000" w:themeColor="text1"/>
          <w:lang w:val="pt-BR"/>
        </w:rPr>
        <w:t>. Contudo, uma vez controlado por outras variáveis, a cor ou raça está associada com os fatores de risco, com pretos e pardos tendo maior chance que brancos de estarem nos grupo de risco. Este resultado mostra a importância de se tratar o fenômeno de forma multidimensional, uma vez que há complexas interações entre diversas variáveis socioeconômicas. Trabalhos futuros podem avançar neste entendimento e avaliar como as diferentes variáveis consideradas neste trabalho, como sexo, nível de instrução e cor ou raça, interagem entre elas em sua associação com a variável resposta, conforme sugere a literatura sobre o tema</w:t>
      </w:r>
      <w:r w:rsidRPr="00944D78">
        <w:rPr>
          <w:rFonts w:ascii="Times New Roman" w:hAnsi="Times New Roman"/>
          <w:color w:val="000000" w:themeColor="text1"/>
          <w:vertAlign w:val="superscript"/>
          <w:lang w:val="pt-BR"/>
        </w:rPr>
        <w:t>36</w:t>
      </w:r>
      <w:r w:rsidRPr="00944D78">
        <w:rPr>
          <w:rFonts w:ascii="Times New Roman" w:hAnsi="Times New Roman"/>
          <w:color w:val="000000" w:themeColor="text1"/>
          <w:lang w:val="pt-BR"/>
        </w:rPr>
        <w:t>.</w:t>
      </w:r>
    </w:p>
    <w:p w:rsidR="00B601FA" w:rsidRPr="00944D78" w:rsidRDefault="004E3D9B">
      <w:pPr>
        <w:rPr>
          <w:color w:val="000000" w:themeColor="text1"/>
          <w:lang w:val="pt-BR"/>
        </w:rPr>
      </w:pPr>
      <w:r w:rsidRPr="00944D78">
        <w:rPr>
          <w:rFonts w:ascii="Times New Roman" w:hAnsi="Times New Roman"/>
          <w:color w:val="000000" w:themeColor="text1"/>
          <w:lang w:val="pt-BR"/>
        </w:rPr>
        <w:t>Em relação aos diferenciais regionais, observou-se menor prevalência do conjunto das condições analisadas nas Regiões Norte e Nordeste. Tais diferenciais são provavelmente resultantes de um pior diagnóstico nessas regiões em função do mais baixo acesso aos serviços de saúde e, consequentemente, a uma pior informação das pessoas sobre a avaliação de sua saúde</w:t>
      </w:r>
      <w:r w:rsidRPr="00944D78">
        <w:rPr>
          <w:rFonts w:ascii="Times New Roman" w:hAnsi="Times New Roman"/>
          <w:color w:val="000000" w:themeColor="text1"/>
          <w:vertAlign w:val="superscript"/>
          <w:lang w:val="pt-BR"/>
        </w:rPr>
        <w:t>34,35</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Além de caracterizar os grupos de risco para COVID-19 em nível individual, este trabalho também traz estimativas de indivíduos em convívio com a presença de pelo menos um morador no grupo de risco, o que pode ser relevante para estratégias de prevenção e mitigação ao considerar possibilidades de transmissão </w:t>
      </w:r>
      <w:proofErr w:type="spellStart"/>
      <w:r w:rsidRPr="00944D78">
        <w:rPr>
          <w:rFonts w:ascii="Times New Roman" w:hAnsi="Times New Roman"/>
          <w:color w:val="000000" w:themeColor="text1"/>
          <w:lang w:val="pt-BR"/>
        </w:rPr>
        <w:t>intradomiciliar</w:t>
      </w:r>
      <w:proofErr w:type="spellEnd"/>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Estima-se que 68,7% dos brasileiros viviam, em 2013, com pelo menos uma pessoa no grupo de risco para desenvolvimento de complicações associadas a infecção por COVID-19. Além dos 30,3% de brasileiros que viviam com pelo menos um idoso, outros 38,4% não tinham idosos em seus domicílios, mas tinham pelo menos um morador adulto com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pré-existentes. A proporção de domicílios com pelo menos um morador pertencente ao grupo de risco varia regionalmente, com valores mais altos para alguns estados do Sul e Sudeste, podendo ser explicada pela estrutura etária da população, composição domiciliar e prevalência de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associadas em cada região.</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distribuição etária das pessoas vivendo em domicílios com pelo menos um morador no grupo de risco é, em geral, mais jovem. Contudo, há um número extremamente alto de pessoas com idade entre 10 e 25 anos que vivem com pelo menos uma pessoas no grupo de risco, que são principalmente pais, mas também avós e outros parentes.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Tais resultados sugerem que o denominado isolamento vertical não se configura em uma estratégia possível no contexto brasileiro, já que deveria ser combinado com o isolamento de todos os membros do domicílio, uma vez que é praticamente impossível evitar contato próximo </w:t>
      </w:r>
      <w:proofErr w:type="spellStart"/>
      <w:r w:rsidRPr="00944D78">
        <w:rPr>
          <w:rFonts w:ascii="Times New Roman" w:hAnsi="Times New Roman"/>
          <w:color w:val="000000" w:themeColor="text1"/>
          <w:lang w:val="pt-BR"/>
        </w:rPr>
        <w:t>intradomiciliar</w:t>
      </w:r>
      <w:proofErr w:type="spellEnd"/>
      <w:r w:rsidRPr="00944D78">
        <w:rPr>
          <w:rFonts w:ascii="Times New Roman" w:hAnsi="Times New Roman"/>
          <w:color w:val="000000" w:themeColor="text1"/>
          <w:lang w:val="pt-BR"/>
        </w:rPr>
        <w:t xml:space="preserve">.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A análise por grupo etário traz, ainda, elementos para discussões sobre intervenções públicas, como fechamento de escolas e universidades. Apesar de crianças e jovens terem baixo risco de desenvolvimento de complicações em função da doença, mais de 50% das crianças de 0 a 5 anos vivem com pelo menos uma pessoa no grupo de risco. Esse percentual chega a quase 70% dos jovens com idade próxima aos 20 anos, indicando que a atividade das escolas e universidades podem ser um importante canal de transmissão do vírus para domicílios com pessoas de alto risco, sem contar o aumento dos fluxos nos transportes públicos que essa atividade envolve.</w:t>
      </w:r>
    </w:p>
    <w:p w:rsidR="00B601FA" w:rsidRPr="00944D78" w:rsidRDefault="004E3D9B">
      <w:pPr>
        <w:rPr>
          <w:color w:val="000000" w:themeColor="text1"/>
          <w:lang w:val="pt-BR"/>
        </w:rPr>
      </w:pPr>
      <w:r w:rsidRPr="00944D78">
        <w:rPr>
          <w:rFonts w:ascii="Times New Roman" w:hAnsi="Times New Roman"/>
          <w:color w:val="000000" w:themeColor="text1"/>
          <w:lang w:val="pt-BR"/>
        </w:rPr>
        <w:t xml:space="preserve">Destaca-se que esta análise considera tão-somente as relações </w:t>
      </w:r>
      <w:proofErr w:type="spellStart"/>
      <w:r w:rsidRPr="00944D78">
        <w:rPr>
          <w:rFonts w:ascii="Times New Roman" w:hAnsi="Times New Roman"/>
          <w:color w:val="000000" w:themeColor="text1"/>
          <w:lang w:val="pt-BR"/>
        </w:rPr>
        <w:t>intradomiciliares</w:t>
      </w:r>
      <w:proofErr w:type="spellEnd"/>
      <w:r w:rsidRPr="00944D78">
        <w:rPr>
          <w:rFonts w:ascii="Times New Roman" w:hAnsi="Times New Roman"/>
          <w:color w:val="000000" w:themeColor="text1"/>
          <w:lang w:val="pt-BR"/>
        </w:rPr>
        <w:t xml:space="preserve">, mas deve-se ter em mente que muitas pessoas, particularmente os pertencentes aos grupos de risco, como idosos, são dependentes de suporte de suas redes de relações sociais, que não necessariamente vivem no mesmo domicílio. Chama-se atenção, ainda, para o fato que os resultados de diversas </w:t>
      </w:r>
      <w:proofErr w:type="spellStart"/>
      <w:r w:rsidRPr="00944D78">
        <w:rPr>
          <w:rFonts w:ascii="Times New Roman" w:hAnsi="Times New Roman"/>
          <w:color w:val="000000" w:themeColor="text1"/>
          <w:lang w:val="pt-BR"/>
        </w:rPr>
        <w:t>comorbidades</w:t>
      </w:r>
      <w:proofErr w:type="spellEnd"/>
      <w:r w:rsidRPr="00944D78">
        <w:rPr>
          <w:rFonts w:ascii="Times New Roman" w:hAnsi="Times New Roman"/>
          <w:color w:val="000000" w:themeColor="text1"/>
          <w:lang w:val="pt-BR"/>
        </w:rPr>
        <w:t xml:space="preserve"> consideradas referem-se apenas aos indivíduos diagnosticados e que reportaram ter conhecimento das suas condições, o que se configura em uma das limitações deste trabalho. É esperado que uma parte da população nunca tenha feito o diagnóstico, o que poderia aumentar o percentual de pessoas em grupo de risco para a maior gravidade e letalidade da doença em discussão. No caso de diabetes, por exemplo, estima-se que cerca de metade da população com a doença nunca teve diagnóstico prévio da doença</w:t>
      </w:r>
      <w:r w:rsidRPr="00944D78">
        <w:rPr>
          <w:rFonts w:ascii="Times New Roman" w:hAnsi="Times New Roman"/>
          <w:color w:val="000000" w:themeColor="text1"/>
          <w:vertAlign w:val="superscript"/>
          <w:lang w:val="pt-BR"/>
        </w:rPr>
        <w:t>37</w:t>
      </w:r>
      <w:r w:rsidRPr="00944D78">
        <w:rPr>
          <w:rFonts w:ascii="Times New Roman" w:hAnsi="Times New Roman"/>
          <w:color w:val="000000" w:themeColor="text1"/>
          <w:lang w:val="pt-BR"/>
        </w:rPr>
        <w:t xml:space="preserve">. As medidas de prevalência de obesidade mórbida, que utilizou medidas de peso e altura e a </w:t>
      </w:r>
      <w:r w:rsidRPr="00944D78">
        <w:rPr>
          <w:rFonts w:ascii="Times New Roman" w:hAnsi="Times New Roman"/>
          <w:color w:val="000000" w:themeColor="text1"/>
          <w:lang w:val="pt-BR"/>
        </w:rPr>
        <w:lastRenderedPageBreak/>
        <w:t>hipertensão arterial, que foi medida por instrumento e uso de medicamento, têm também suas limitações. A subestimação no diagnóstico das morbidades consideradas pode ser particularmente mais importante nas Regiões Norte e Nordeste, com problemas maiores de acesso a serviços de saúde e, consequentemente, menor capacidade de diagnóstico e acesso a medicamento, no caso da medida de hipertensão arterial</w:t>
      </w:r>
      <w:r w:rsidRPr="00944D78">
        <w:rPr>
          <w:rFonts w:ascii="Times New Roman" w:hAnsi="Times New Roman"/>
          <w:color w:val="000000" w:themeColor="text1"/>
          <w:vertAlign w:val="superscript"/>
          <w:lang w:val="pt-BR"/>
        </w:rPr>
        <w:t>21</w:t>
      </w:r>
      <w:r w:rsidRPr="00944D78">
        <w:rPr>
          <w:rFonts w:ascii="Times New Roman" w:hAnsi="Times New Roman"/>
          <w:color w:val="000000" w:themeColor="text1"/>
          <w:lang w:val="pt-BR"/>
        </w:rPr>
        <w:t>.</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Outra limitação deste trabalho é que utiliza informações de 2013, portanto defasadas em cerca de 7 anos do início da pandemia. Os dados aqui analisados poderão ser atualizados assim que os resultados da PNS 2019 estejam disponibilizados.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Conclusões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Este trabalho procurou trazer elementos para o melhor entendimento da estrutura demográfica e socioeconômica associada aos grupos de risco para COVID-19, bem como os contextos, particularmente </w:t>
      </w:r>
      <w:proofErr w:type="spellStart"/>
      <w:r w:rsidRPr="00944D78">
        <w:rPr>
          <w:rFonts w:ascii="Times New Roman" w:hAnsi="Times New Roman"/>
          <w:color w:val="000000" w:themeColor="text1"/>
          <w:lang w:val="pt-BR"/>
        </w:rPr>
        <w:t>intradomiciliares</w:t>
      </w:r>
      <w:proofErr w:type="spellEnd"/>
      <w:r w:rsidRPr="00944D78">
        <w:rPr>
          <w:rFonts w:ascii="Times New Roman" w:hAnsi="Times New Roman"/>
          <w:color w:val="000000" w:themeColor="text1"/>
          <w:lang w:val="pt-BR"/>
        </w:rPr>
        <w:t xml:space="preserve">, em que estão vivendo esses grupos mais vulneráveis, análises importantes para a construção de estratégias para o enfrentamento da pandemia. </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Com a disseminação da doença em diversas regiões do país, a subnotificação dos casos, as incertezas sobre se há de fato imunidade eficaz entre aqueles que se recuperaram da doença e o acometimento com gravidade da população adulta jovem, como vem sendo observado no Brasil, as estratégias de controle da transmissibilidade da doença devem se valer da análise dos grupos de risco para a doença como um fator para o entendimento do avanço da pandemia no país. Tais análises devem ser empregadas também na avaliação das medidas de manutenção de isolamento social, bem como os prazos, planos e etapas para uma futura retomada das atividades sociais em sua integralidade com riscos mitigados à vida das pessoas.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O que se sabe até o momento é que os grupos populacionais mais vulneráveis, como idosos e pessoas com condições médicas pré-existentes devem sim, merecer atenção especial, mas o isolamento exclusivo desse grupo parece não ser uma estratégia eficaz, em função das características de saúde, socioeconômicas e das formas de relações sociais e de composição domiciliar. Os resultados desse trabalho corroboram com evidências de que estratégias de supressão, incluindo isolamento social de toda a população, são as mais adequadas no momento, por serem aquelas que permitem o achatamento da curva de transmissão da doença, evitando crise ainda maior no sistema de saúde pública. Além disso, as informações são importantes também para o planejamento do tempo de seguimento da estratégia de distanciamento social de toda população. A efetividade do distanciamento social pleno requer relações federativas sólidas para a implementação de ações rápidas e coordenadas por parte das esferas de poder, em prol da menor letalidade possível e redução dos danos socioeconômicos.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Considera-se que o quadro atual no qual inexiste vacina para imunizar a população e nem remédios com eficácia comprovada para o tratamento da patologia e as deficiências do sistema público de saúde estão expostas sob a </w:t>
      </w:r>
      <w:r w:rsidRPr="00944D78">
        <w:rPr>
          <w:rFonts w:ascii="Times New Roman" w:hAnsi="Times New Roman"/>
          <w:color w:val="000000" w:themeColor="text1"/>
          <w:lang w:val="pt-BR"/>
        </w:rPr>
        <w:lastRenderedPageBreak/>
        <w:t>forma de carência de profissionais, insuficiência de equipamentos de proteção para os trabalhadores e escassez de recursos de UTI  como respirados/ventiladores mecânicos, um fator social relevante para a sobrevivência das  pessoas acometidas pela enfermidade, principalmente diante da enorme desigualdade observada entre a parcela da população que tem acesso aos serviços privados, por meio de planos de saúde, e aquelas que são unicamente dependentes do Sistema Único de Saúde (SUS).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É preciso ainda atentar para o fato de que trata-se de uma enfermidade nova com enormes incertezas sobre o horizonte de necessidades para estratégias de enfrentamentos e, portanto, medidas de contenção da transmissão da pandemia, dos cuidados sanitários, de proteção social e socorro econômico emergencial a serem conduzidos devem considerar diversos cenários. Assim, os resultados apresentados nesse trabalho e suas possíveis derivações são relevantes, não somente para o debate corrente sobre as intervenções de saúde pública, mas também para planejar ações para outras dimensões da vida social como o retorno as atividades educacionais ou laborais, as regras para convívio em espaços públicos, entre outras. Ações essas que possam minimizar novos colapsos da saúde e picos de transmissão e mortes, quando as medidas de intervenção, como o isolamento, forem relaxadas.</w:t>
      </w:r>
    </w:p>
    <w:p w:rsidR="00B601FA" w:rsidRPr="00944D78" w:rsidRDefault="004E3D9B">
      <w:pPr>
        <w:rPr>
          <w:rFonts w:ascii="Times New Roman" w:hAnsi="Times New Roman"/>
          <w:color w:val="000000" w:themeColor="text1"/>
          <w:lang w:val="pt-BR"/>
        </w:rPr>
      </w:pPr>
      <w:r w:rsidRPr="00944D78">
        <w:rPr>
          <w:rFonts w:ascii="Times New Roman" w:hAnsi="Times New Roman"/>
          <w:color w:val="000000" w:themeColor="text1"/>
          <w:lang w:val="pt-BR"/>
        </w:rPr>
        <w:t xml:space="preserve">Para além das medidas aplicadas no período de emergência da pandemia, os resultados confirmam, ainda, que o perfil </w:t>
      </w:r>
      <w:proofErr w:type="spellStart"/>
      <w:r w:rsidRPr="00944D78">
        <w:rPr>
          <w:rFonts w:ascii="Times New Roman" w:hAnsi="Times New Roman"/>
          <w:color w:val="000000" w:themeColor="text1"/>
          <w:lang w:val="pt-BR"/>
        </w:rPr>
        <w:t>sociodemográfico</w:t>
      </w:r>
      <w:proofErr w:type="spellEnd"/>
      <w:r w:rsidRPr="00944D78">
        <w:rPr>
          <w:rFonts w:ascii="Times New Roman" w:hAnsi="Times New Roman"/>
          <w:color w:val="000000" w:themeColor="text1"/>
          <w:lang w:val="pt-BR"/>
        </w:rPr>
        <w:t xml:space="preserve"> e a prevalência das doenças crônicas presente em parcela expressiva da população  é um fator a ser observado para medidas estruturação do sistema público de saúde, sem as quais, em situações cotidianas ou naquelas agravadas por emergências sanitárias, a economia e demais dimensões da vida social são negativamente impactadas.</w:t>
      </w:r>
    </w:p>
    <w:p w:rsidR="00B601FA" w:rsidRPr="00944D78" w:rsidRDefault="004E3D9B">
      <w:pPr>
        <w:pStyle w:val="ListParagraph"/>
        <w:numPr>
          <w:ilvl w:val="0"/>
          <w:numId w:val="1"/>
        </w:numPr>
        <w:rPr>
          <w:rFonts w:ascii="Times New Roman" w:hAnsi="Times New Roman"/>
          <w:color w:val="000000" w:themeColor="text1"/>
          <w:lang w:val="pt-BR"/>
        </w:rPr>
      </w:pPr>
      <w:r w:rsidRPr="00944D78">
        <w:rPr>
          <w:rFonts w:ascii="Times New Roman" w:hAnsi="Times New Roman"/>
          <w:color w:val="000000" w:themeColor="text1"/>
          <w:lang w:val="pt-BR"/>
        </w:rPr>
        <w:t>Referências</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 </w:t>
      </w:r>
      <w:r w:rsidRPr="00944D78">
        <w:rPr>
          <w:rFonts w:ascii="Times New Roman" w:hAnsi="Times New Roman"/>
          <w:color w:val="000000" w:themeColor="text1"/>
        </w:rPr>
        <w:tab/>
        <w:t>World Health Organization. Coronavirus disease 2019 (COVID-19) situation report–51. Geneva, Switzerland: World Health Organization; 2020 [Internet]. WHO; 2020. Available from: https://www.who.int/docs/default-source/coronaviruse/situation-reports/20200311-sitrep-51-covid-19.pdf?sfvrsn=1ba62e57_10</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2. </w:t>
      </w:r>
      <w:r w:rsidRPr="00944D78">
        <w:rPr>
          <w:rFonts w:ascii="Times New Roman" w:hAnsi="Times New Roman"/>
          <w:color w:val="000000" w:themeColor="text1"/>
        </w:rPr>
        <w:tab/>
        <w:t>Johns Hopkins University. COVID-19 Dashboard by the Center for Systems Science and Engineering (CSSE) at Johns Hopkins University (JHU) [Internet]. 2020 [cited 2020 Jun 30]. Available from: https://gisanddata.maps.arcgis.com/apps/opsdashboard/index.html#/bda7594740fd40299423467b48e9ecf6</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 </w:t>
      </w:r>
      <w:r w:rsidRPr="00944D78">
        <w:rPr>
          <w:rFonts w:ascii="Times New Roman" w:hAnsi="Times New Roman"/>
          <w:color w:val="000000" w:themeColor="text1"/>
          <w:lang w:val="pt-BR"/>
        </w:rPr>
        <w:tab/>
        <w:t xml:space="preserve">Rodriguez-Morales AJ, </w:t>
      </w:r>
      <w:proofErr w:type="spellStart"/>
      <w:r w:rsidRPr="00944D78">
        <w:rPr>
          <w:rFonts w:ascii="Times New Roman" w:hAnsi="Times New Roman"/>
          <w:color w:val="000000" w:themeColor="text1"/>
          <w:lang w:val="pt-BR"/>
        </w:rPr>
        <w:t>Gallego</w:t>
      </w:r>
      <w:proofErr w:type="spellEnd"/>
      <w:r w:rsidRPr="00944D78">
        <w:rPr>
          <w:rFonts w:ascii="Times New Roman" w:hAnsi="Times New Roman"/>
          <w:color w:val="000000" w:themeColor="text1"/>
          <w:lang w:val="pt-BR"/>
        </w:rPr>
        <w:t xml:space="preserve"> V, </w:t>
      </w:r>
      <w:proofErr w:type="spellStart"/>
      <w:r w:rsidRPr="00944D78">
        <w:rPr>
          <w:rFonts w:ascii="Times New Roman" w:hAnsi="Times New Roman"/>
          <w:color w:val="000000" w:themeColor="text1"/>
          <w:lang w:val="pt-BR"/>
        </w:rPr>
        <w:t>Escalera-Antezana</w:t>
      </w:r>
      <w:proofErr w:type="spellEnd"/>
      <w:r w:rsidRPr="00944D78">
        <w:rPr>
          <w:rFonts w:ascii="Times New Roman" w:hAnsi="Times New Roman"/>
          <w:color w:val="000000" w:themeColor="text1"/>
          <w:lang w:val="pt-BR"/>
        </w:rPr>
        <w:t xml:space="preserve"> JP, </w:t>
      </w:r>
      <w:proofErr w:type="spellStart"/>
      <w:r w:rsidRPr="00944D78">
        <w:rPr>
          <w:rFonts w:ascii="Times New Roman" w:hAnsi="Times New Roman"/>
          <w:color w:val="000000" w:themeColor="text1"/>
          <w:lang w:val="pt-BR"/>
        </w:rPr>
        <w:t>Méndez</w:t>
      </w:r>
      <w:proofErr w:type="spellEnd"/>
      <w:r w:rsidRPr="00944D78">
        <w:rPr>
          <w:rFonts w:ascii="Times New Roman" w:hAnsi="Times New Roman"/>
          <w:color w:val="000000" w:themeColor="text1"/>
          <w:lang w:val="pt-BR"/>
        </w:rPr>
        <w:t xml:space="preserve"> CA, </w:t>
      </w:r>
      <w:proofErr w:type="spellStart"/>
      <w:r w:rsidRPr="00944D78">
        <w:rPr>
          <w:rFonts w:ascii="Times New Roman" w:hAnsi="Times New Roman"/>
          <w:color w:val="000000" w:themeColor="text1"/>
          <w:lang w:val="pt-BR"/>
        </w:rPr>
        <w:t>Zambrano</w:t>
      </w:r>
      <w:proofErr w:type="spellEnd"/>
      <w:r w:rsidRPr="00944D78">
        <w:rPr>
          <w:rFonts w:ascii="Times New Roman" w:hAnsi="Times New Roman"/>
          <w:color w:val="000000" w:themeColor="text1"/>
          <w:lang w:val="pt-BR"/>
        </w:rPr>
        <w:t xml:space="preserve"> LI, Franco-Paredes C, et al. </w:t>
      </w:r>
      <w:r w:rsidRPr="00944D78">
        <w:rPr>
          <w:rFonts w:ascii="Times New Roman" w:hAnsi="Times New Roman"/>
          <w:color w:val="000000" w:themeColor="text1"/>
        </w:rPr>
        <w:t xml:space="preserve">COVID-19 in Latin America: The implications of the first confirmed case in Brazil. Travel Med Infect Dis. 2020;35:101613.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4. </w:t>
      </w:r>
      <w:r w:rsidRPr="00944D78">
        <w:rPr>
          <w:rFonts w:ascii="Times New Roman" w:hAnsi="Times New Roman"/>
          <w:color w:val="000000" w:themeColor="text1"/>
        </w:rPr>
        <w:tab/>
      </w:r>
      <w:proofErr w:type="spellStart"/>
      <w:r w:rsidRPr="00944D78">
        <w:rPr>
          <w:rFonts w:ascii="Times New Roman" w:hAnsi="Times New Roman"/>
          <w:color w:val="000000" w:themeColor="text1"/>
        </w:rPr>
        <w:t>Kupferschmidt</w:t>
      </w:r>
      <w:proofErr w:type="spellEnd"/>
      <w:r w:rsidRPr="00944D78">
        <w:rPr>
          <w:rFonts w:ascii="Times New Roman" w:hAnsi="Times New Roman"/>
          <w:color w:val="000000" w:themeColor="text1"/>
        </w:rPr>
        <w:t xml:space="preserve"> K, </w:t>
      </w:r>
      <w:proofErr w:type="spellStart"/>
      <w:r w:rsidRPr="00944D78">
        <w:rPr>
          <w:rFonts w:ascii="Times New Roman" w:hAnsi="Times New Roman"/>
          <w:color w:val="000000" w:themeColor="text1"/>
        </w:rPr>
        <w:t>CohenMar</w:t>
      </w:r>
      <w:proofErr w:type="spellEnd"/>
      <w:r w:rsidRPr="00944D78">
        <w:rPr>
          <w:rFonts w:ascii="Times New Roman" w:hAnsi="Times New Roman"/>
          <w:color w:val="000000" w:themeColor="text1"/>
        </w:rPr>
        <w:t>. 2 J, 2020, Pm 4:50. China’s aggressive measures have slowed the coronavirus. They may not work in other countries [Internet]. Science | AAAS. 2020 [cited 2020 Apr 3]. Available from: https://www.sciencemag.org/news/2020/03/china-s-aggressive-measures-have-slowed-coronavirus-they-may-not-work-other-countries</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5. </w:t>
      </w:r>
      <w:r w:rsidRPr="00944D78">
        <w:rPr>
          <w:rFonts w:ascii="Times New Roman" w:hAnsi="Times New Roman"/>
          <w:color w:val="000000" w:themeColor="text1"/>
        </w:rPr>
        <w:tab/>
        <w:t xml:space="preserve">Viner R, Russell S, Croker H, Packer J, Ward J, Stansfield C, et al. School Closure and Management Practices During Coronavirus Outbreaks Including COVID-19: A Rapid Narrative Systematic Review </w:t>
      </w:r>
      <w:r w:rsidRPr="00944D78">
        <w:rPr>
          <w:rFonts w:ascii="Times New Roman" w:hAnsi="Times New Roman"/>
          <w:color w:val="000000" w:themeColor="text1"/>
        </w:rPr>
        <w:lastRenderedPageBreak/>
        <w:t>[Internet]. Rochester, NY: Social Science Research Network; 2020 Mar [cited 2020 Apr 3]. Report No.: ID 3556648. Available from: https://papers.ssrn.com/abstract=3556648</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6. </w:t>
      </w:r>
      <w:r w:rsidRPr="00944D78">
        <w:rPr>
          <w:rFonts w:ascii="Times New Roman" w:hAnsi="Times New Roman"/>
          <w:color w:val="000000" w:themeColor="text1"/>
        </w:rPr>
        <w:tab/>
        <w:t>Koo JR, Cook AR, Park M, Sun Y, Sun H, Lim JT, et al. Interventions to mitigate early spread of SARS-CoV-2 in Singapore: a modelling study. The Lancet Infectious Diseases [Internet]. 2020 Mar 23 [cited 2020 Apr 3];0(0). Available from: https://www.thelancet.com/journals/laninf/article/PIIS1473-3099(20)30162-6/abstract</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7. </w:t>
      </w:r>
      <w:r w:rsidRPr="00944D78">
        <w:rPr>
          <w:rFonts w:ascii="Times New Roman" w:hAnsi="Times New Roman"/>
          <w:color w:val="000000" w:themeColor="text1"/>
        </w:rPr>
        <w:tab/>
        <w:t xml:space="preserve">Ferguson N, </w:t>
      </w:r>
      <w:proofErr w:type="spellStart"/>
      <w:r w:rsidRPr="00944D78">
        <w:rPr>
          <w:rFonts w:ascii="Times New Roman" w:hAnsi="Times New Roman"/>
          <w:color w:val="000000" w:themeColor="text1"/>
        </w:rPr>
        <w:t>Laydon</w:t>
      </w:r>
      <w:proofErr w:type="spellEnd"/>
      <w:r w:rsidRPr="00944D78">
        <w:rPr>
          <w:rFonts w:ascii="Times New Roman" w:hAnsi="Times New Roman"/>
          <w:color w:val="000000" w:themeColor="text1"/>
        </w:rPr>
        <w:t xml:space="preserve"> D, </w:t>
      </w:r>
      <w:proofErr w:type="spellStart"/>
      <w:r w:rsidRPr="00944D78">
        <w:rPr>
          <w:rFonts w:ascii="Times New Roman" w:hAnsi="Times New Roman"/>
          <w:color w:val="000000" w:themeColor="text1"/>
        </w:rPr>
        <w:t>Nedjati</w:t>
      </w:r>
      <w:proofErr w:type="spellEnd"/>
      <w:r w:rsidRPr="00944D78">
        <w:rPr>
          <w:rFonts w:ascii="Times New Roman" w:hAnsi="Times New Roman"/>
          <w:color w:val="000000" w:themeColor="text1"/>
        </w:rPr>
        <w:t xml:space="preserve"> Gilani G, Imai N, Ainslie K, </w:t>
      </w:r>
      <w:proofErr w:type="spellStart"/>
      <w:r w:rsidRPr="00944D78">
        <w:rPr>
          <w:rFonts w:ascii="Times New Roman" w:hAnsi="Times New Roman"/>
          <w:color w:val="000000" w:themeColor="text1"/>
        </w:rPr>
        <w:t>Baguelin</w:t>
      </w:r>
      <w:proofErr w:type="spellEnd"/>
      <w:r w:rsidRPr="00944D78">
        <w:rPr>
          <w:rFonts w:ascii="Times New Roman" w:hAnsi="Times New Roman"/>
          <w:color w:val="000000" w:themeColor="text1"/>
        </w:rPr>
        <w:t xml:space="preserve"> M, et al. Impact of non-pharmaceutical interventions (NPIs) to reduce COVID19 mortality and healthcare demand [Internet]. 2020 Mar [cited 2020 Apr 3]. Available from: http://spiral.imperial.ac.uk/handle/10044/1/77482</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8. </w:t>
      </w:r>
      <w:r w:rsidRPr="00944D78">
        <w:rPr>
          <w:rFonts w:ascii="Times New Roman" w:hAnsi="Times New Roman"/>
          <w:color w:val="000000" w:themeColor="text1"/>
          <w:lang w:val="pt-BR"/>
        </w:rPr>
        <w:tab/>
        <w:t>Agência Brasil. Veja as medidas que cada estado está adotando para combater a covid-19. Agência Brasil [Internet]. 2020 Mar 28 [</w:t>
      </w:r>
      <w:proofErr w:type="spellStart"/>
      <w:r w:rsidRPr="00944D78">
        <w:rPr>
          <w:rFonts w:ascii="Times New Roman" w:hAnsi="Times New Roman"/>
          <w:color w:val="000000" w:themeColor="text1"/>
          <w:lang w:val="pt-BR"/>
        </w:rPr>
        <w:t>cited</w:t>
      </w:r>
      <w:proofErr w:type="spellEnd"/>
      <w:r w:rsidRPr="00944D78">
        <w:rPr>
          <w:rFonts w:ascii="Times New Roman" w:hAnsi="Times New Roman"/>
          <w:color w:val="000000" w:themeColor="text1"/>
          <w:lang w:val="pt-BR"/>
        </w:rPr>
        <w:t xml:space="preserve"> 2020 </w:t>
      </w:r>
      <w:proofErr w:type="spellStart"/>
      <w:r w:rsidRPr="00944D78">
        <w:rPr>
          <w:rFonts w:ascii="Times New Roman" w:hAnsi="Times New Roman"/>
          <w:color w:val="000000" w:themeColor="text1"/>
          <w:lang w:val="pt-BR"/>
        </w:rPr>
        <w:t>Apr</w:t>
      </w:r>
      <w:proofErr w:type="spellEnd"/>
      <w:r w:rsidRPr="00944D78">
        <w:rPr>
          <w:rFonts w:ascii="Times New Roman" w:hAnsi="Times New Roman"/>
          <w:color w:val="000000" w:themeColor="text1"/>
          <w:lang w:val="pt-BR"/>
        </w:rPr>
        <w:t xml:space="preserve"> 3]; </w:t>
      </w:r>
      <w:proofErr w:type="spellStart"/>
      <w:r w:rsidRPr="00944D78">
        <w:rPr>
          <w:rFonts w:ascii="Times New Roman" w:hAnsi="Times New Roman"/>
          <w:color w:val="000000" w:themeColor="text1"/>
          <w:lang w:val="pt-BR"/>
        </w:rPr>
        <w:t>Available</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from</w:t>
      </w:r>
      <w:proofErr w:type="spellEnd"/>
      <w:r w:rsidRPr="00944D78">
        <w:rPr>
          <w:rFonts w:ascii="Times New Roman" w:hAnsi="Times New Roman"/>
          <w:color w:val="000000" w:themeColor="text1"/>
          <w:lang w:val="pt-BR"/>
        </w:rPr>
        <w:t>: https://agenciabrasil.ebc.com.br/saude/noticia/2020-03/veja-medidas-que-cada-estado-esta-adotando-para-combater-covid-19</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9. </w:t>
      </w:r>
      <w:r w:rsidRPr="00944D78">
        <w:rPr>
          <w:rFonts w:ascii="Times New Roman" w:hAnsi="Times New Roman"/>
          <w:color w:val="000000" w:themeColor="text1"/>
        </w:rPr>
        <w:tab/>
        <w:t xml:space="preserve">The Lancet  null. COVID-19 in Brazil: “So what?” </w:t>
      </w:r>
      <w:r w:rsidRPr="00944D78">
        <w:rPr>
          <w:rFonts w:ascii="Times New Roman" w:hAnsi="Times New Roman"/>
          <w:color w:val="000000" w:themeColor="text1"/>
          <w:lang w:val="pt-BR"/>
        </w:rPr>
        <w:t xml:space="preserve">Lancet. 2020 09;395(10235):1461.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10. </w:t>
      </w:r>
      <w:r w:rsidRPr="00944D78">
        <w:rPr>
          <w:rFonts w:ascii="Times New Roman" w:hAnsi="Times New Roman"/>
          <w:color w:val="000000" w:themeColor="text1"/>
          <w:lang w:val="pt-BR"/>
        </w:rPr>
        <w:tab/>
        <w:t xml:space="preserve">Rocha C. O isolamento vertical defendido por Bolsonaro sob análise. </w:t>
      </w:r>
      <w:proofErr w:type="spellStart"/>
      <w:r w:rsidRPr="00944D78">
        <w:rPr>
          <w:rFonts w:ascii="Times New Roman" w:hAnsi="Times New Roman"/>
          <w:color w:val="000000" w:themeColor="text1"/>
        </w:rPr>
        <w:t>Nexo</w:t>
      </w:r>
      <w:proofErr w:type="spellEnd"/>
      <w:r w:rsidRPr="00944D78">
        <w:rPr>
          <w:rFonts w:ascii="Times New Roman" w:hAnsi="Times New Roman"/>
          <w:color w:val="000000" w:themeColor="text1"/>
        </w:rPr>
        <w:t xml:space="preserve"> </w:t>
      </w:r>
      <w:proofErr w:type="spellStart"/>
      <w:r w:rsidRPr="00944D78">
        <w:rPr>
          <w:rFonts w:ascii="Times New Roman" w:hAnsi="Times New Roman"/>
          <w:color w:val="000000" w:themeColor="text1"/>
        </w:rPr>
        <w:t>Jornal</w:t>
      </w:r>
      <w:proofErr w:type="spellEnd"/>
      <w:r w:rsidRPr="00944D78">
        <w:rPr>
          <w:rFonts w:ascii="Times New Roman" w:hAnsi="Times New Roman"/>
          <w:color w:val="000000" w:themeColor="text1"/>
        </w:rPr>
        <w:t xml:space="preserve"> [Internet]. 2020 Mar 25 [cited 2020 Apr 3]; Available from: https://www.nexojornal.com.br/expresso/2020/03/25/O-isolamento-vertical-defendido-por-Bolsonaro-sob-an%C3%A1lise</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11. </w:t>
      </w:r>
      <w:r w:rsidRPr="00944D78">
        <w:rPr>
          <w:rFonts w:ascii="Times New Roman" w:hAnsi="Times New Roman"/>
          <w:color w:val="000000" w:themeColor="text1"/>
        </w:rPr>
        <w:tab/>
        <w:t>Katz D. Is Our Fight Against Coronavirus Worse Than the Disease? - The New York Times. 2020 Mar 20 [cited 2020 Apr 3]; Available from: https://www.nytimes.com/2020/03/20/opinion/coronavirus-pandemic-social-distancing.html</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12. </w:t>
      </w:r>
      <w:r w:rsidRPr="00944D78">
        <w:rPr>
          <w:rFonts w:ascii="Times New Roman" w:hAnsi="Times New Roman"/>
          <w:color w:val="000000" w:themeColor="text1"/>
        </w:rPr>
        <w:tab/>
        <w:t xml:space="preserve">Chen N, Zhou M, Dong X, Qu J, Gong F, Han Y, et al. Epidemiological and clinical characteristics of 99 cases of 2019 novel coronavirus pneumonia in Wuhan, China: a descriptive study. The Lancet. 2020 Feb 15;395(10223):507–13.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13. </w:t>
      </w:r>
      <w:r w:rsidRPr="00944D78">
        <w:rPr>
          <w:rFonts w:ascii="Times New Roman" w:hAnsi="Times New Roman"/>
          <w:color w:val="000000" w:themeColor="text1"/>
        </w:rPr>
        <w:tab/>
        <w:t xml:space="preserve">Zhou F, Yu T, Du R, Fan G, Liu Y, Liu Z, et al. Clinical course and risk factors for mortality of adult inpatients with COVID-19 in Wuhan, China: a retrospective cohort study. The Lancet. 2020 Mar 28;395(10229):1054–62.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14. </w:t>
      </w:r>
      <w:r w:rsidRPr="00944D78">
        <w:rPr>
          <w:rFonts w:ascii="Times New Roman" w:hAnsi="Times New Roman"/>
          <w:color w:val="000000" w:themeColor="text1"/>
        </w:rPr>
        <w:tab/>
        <w:t xml:space="preserve">Huang C, Wang Y, Li X, Ren L, Zhao J, Hu Y, et al. Clinical features of patients infected with 2019 novel coronavirus in Wuhan, China. The Lancet. 2020 Feb 15;395(10223):497–506. </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15. </w:t>
      </w:r>
      <w:r w:rsidRPr="00944D78">
        <w:rPr>
          <w:rFonts w:ascii="Times New Roman" w:hAnsi="Times New Roman"/>
          <w:color w:val="000000" w:themeColor="text1"/>
        </w:rPr>
        <w:tab/>
        <w:t xml:space="preserve">Fang L, </w:t>
      </w:r>
      <w:proofErr w:type="spellStart"/>
      <w:r w:rsidRPr="00944D78">
        <w:rPr>
          <w:rFonts w:ascii="Times New Roman" w:hAnsi="Times New Roman"/>
          <w:color w:val="000000" w:themeColor="text1"/>
        </w:rPr>
        <w:t>Karakiulakis</w:t>
      </w:r>
      <w:proofErr w:type="spellEnd"/>
      <w:r w:rsidRPr="00944D78">
        <w:rPr>
          <w:rFonts w:ascii="Times New Roman" w:hAnsi="Times New Roman"/>
          <w:color w:val="000000" w:themeColor="text1"/>
        </w:rPr>
        <w:t xml:space="preserve"> G, Roth M. Are patients with hypertension and diabetes mellitus at increased risk for COVID-19 infection? </w:t>
      </w:r>
      <w:r w:rsidRPr="00944D78">
        <w:rPr>
          <w:rFonts w:ascii="Times New Roman" w:hAnsi="Times New Roman"/>
          <w:color w:val="000000" w:themeColor="text1"/>
          <w:lang w:val="pt-BR"/>
        </w:rPr>
        <w:t xml:space="preserve">Lancet </w:t>
      </w:r>
      <w:proofErr w:type="spellStart"/>
      <w:r w:rsidRPr="00944D78">
        <w:rPr>
          <w:rFonts w:ascii="Times New Roman" w:hAnsi="Times New Roman"/>
          <w:color w:val="000000" w:themeColor="text1"/>
          <w:lang w:val="pt-BR"/>
        </w:rPr>
        <w:t>Respir</w:t>
      </w:r>
      <w:proofErr w:type="spellEnd"/>
      <w:r w:rsidRPr="00944D78">
        <w:rPr>
          <w:rFonts w:ascii="Times New Roman" w:hAnsi="Times New Roman"/>
          <w:color w:val="000000" w:themeColor="text1"/>
          <w:lang w:val="pt-BR"/>
        </w:rPr>
        <w:t xml:space="preserve"> Med. 2020 Mar 11;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16. </w:t>
      </w:r>
      <w:r w:rsidRPr="00944D78">
        <w:rPr>
          <w:rFonts w:ascii="Times New Roman" w:hAnsi="Times New Roman"/>
          <w:color w:val="000000" w:themeColor="text1"/>
          <w:lang w:val="pt-BR"/>
        </w:rPr>
        <w:tab/>
        <w:t xml:space="preserve">RENAVE, CNE, CNM. Informe sobre </w:t>
      </w:r>
      <w:proofErr w:type="spellStart"/>
      <w:r w:rsidRPr="00944D78">
        <w:rPr>
          <w:rFonts w:ascii="Times New Roman" w:hAnsi="Times New Roman"/>
          <w:color w:val="000000" w:themeColor="text1"/>
          <w:lang w:val="pt-BR"/>
        </w:rPr>
        <w:t>la</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situación</w:t>
      </w:r>
      <w:proofErr w:type="spellEnd"/>
      <w:r w:rsidRPr="00944D78">
        <w:rPr>
          <w:rFonts w:ascii="Times New Roman" w:hAnsi="Times New Roman"/>
          <w:color w:val="000000" w:themeColor="text1"/>
          <w:lang w:val="pt-BR"/>
        </w:rPr>
        <w:t xml:space="preserve"> de COVID-19enEspaña [Internet]. </w:t>
      </w:r>
      <w:r w:rsidRPr="00944D78">
        <w:rPr>
          <w:rFonts w:ascii="Times New Roman" w:hAnsi="Times New Roman"/>
          <w:color w:val="000000" w:themeColor="text1"/>
        </w:rPr>
        <w:t>2020 Apr [cited 2020 Apr 4]. Report No.: 20. Available from: https://www.isciii.es/QueHacemos/Servicios/VigilanciaSaludPublicaRENAVE/EnfermedadesTransmisibles/Documents/INFORMES/Informes%20COVID-19/Informe%20n%C2%BA%2020.%20Situaci%C3%B3n%20de%20COVID-19%20en%20Espa%C3%B1a%20a%203%20de%20abril%20de%202020.pdf</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17. </w:t>
      </w:r>
      <w:r w:rsidRPr="00944D78">
        <w:rPr>
          <w:rFonts w:ascii="Times New Roman" w:hAnsi="Times New Roman"/>
          <w:color w:val="000000" w:themeColor="text1"/>
          <w:lang w:val="pt-BR"/>
        </w:rPr>
        <w:tab/>
        <w:t xml:space="preserve">Prazeres L, Mariz R, Souza A de. </w:t>
      </w:r>
      <w:proofErr w:type="spellStart"/>
      <w:r w:rsidRPr="00944D78">
        <w:rPr>
          <w:rFonts w:ascii="Times New Roman" w:hAnsi="Times New Roman"/>
          <w:color w:val="000000" w:themeColor="text1"/>
          <w:lang w:val="pt-BR"/>
        </w:rPr>
        <w:t>Coronavírus</w:t>
      </w:r>
      <w:proofErr w:type="spellEnd"/>
      <w:r w:rsidRPr="00944D78">
        <w:rPr>
          <w:rFonts w:ascii="Times New Roman" w:hAnsi="Times New Roman"/>
          <w:color w:val="000000" w:themeColor="text1"/>
          <w:lang w:val="pt-BR"/>
        </w:rPr>
        <w:t xml:space="preserve">: Brasil tem 2.915 casos confirmados e 77 mortes. </w:t>
      </w:r>
      <w:r w:rsidRPr="00944D78">
        <w:rPr>
          <w:rFonts w:ascii="Times New Roman" w:hAnsi="Times New Roman"/>
          <w:color w:val="000000" w:themeColor="text1"/>
        </w:rPr>
        <w:t>2020 Mar 26; Available from: https://oglobo.globo.com/sociedade/coronavirus/coronavirus-brasil-tem-2915-casos-confirmados-77-mortes-1-24330514</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lastRenderedPageBreak/>
        <w:t xml:space="preserve">18. </w:t>
      </w:r>
      <w:r w:rsidRPr="00944D78">
        <w:rPr>
          <w:rFonts w:ascii="Times New Roman" w:hAnsi="Times New Roman"/>
          <w:color w:val="000000" w:themeColor="text1"/>
          <w:lang w:val="pt-BR"/>
        </w:rPr>
        <w:tab/>
        <w:t xml:space="preserve">Rache B, Rocha R, Nunes L, </w:t>
      </w:r>
      <w:proofErr w:type="spellStart"/>
      <w:r w:rsidRPr="00944D78">
        <w:rPr>
          <w:rFonts w:ascii="Times New Roman" w:hAnsi="Times New Roman"/>
          <w:color w:val="000000" w:themeColor="text1"/>
          <w:lang w:val="pt-BR"/>
        </w:rPr>
        <w:t>Spinola</w:t>
      </w:r>
      <w:proofErr w:type="spellEnd"/>
      <w:r w:rsidRPr="00944D78">
        <w:rPr>
          <w:rFonts w:ascii="Times New Roman" w:hAnsi="Times New Roman"/>
          <w:color w:val="000000" w:themeColor="text1"/>
          <w:lang w:val="pt-BR"/>
        </w:rPr>
        <w:t xml:space="preserve"> P, </w:t>
      </w:r>
      <w:proofErr w:type="spellStart"/>
      <w:r w:rsidRPr="00944D78">
        <w:rPr>
          <w:rFonts w:ascii="Times New Roman" w:hAnsi="Times New Roman"/>
          <w:color w:val="000000" w:themeColor="text1"/>
          <w:lang w:val="pt-BR"/>
        </w:rPr>
        <w:t>Malik</w:t>
      </w:r>
      <w:proofErr w:type="spellEnd"/>
      <w:r w:rsidRPr="00944D78">
        <w:rPr>
          <w:rFonts w:ascii="Times New Roman" w:hAnsi="Times New Roman"/>
          <w:color w:val="000000" w:themeColor="text1"/>
          <w:lang w:val="pt-BR"/>
        </w:rPr>
        <w:t xml:space="preserve"> AM, Massuda A. Necessidades de Infraestrutura do SUS em Preparo à COVID-19: Leitos de UTI, Respiradores e Ocupação Hospitalar. São Paulo: IEPS; 2020 Mar. </w:t>
      </w:r>
      <w:proofErr w:type="spellStart"/>
      <w:r w:rsidRPr="00944D78">
        <w:rPr>
          <w:rFonts w:ascii="Times New Roman" w:hAnsi="Times New Roman"/>
          <w:color w:val="000000" w:themeColor="text1"/>
          <w:lang w:val="pt-BR"/>
        </w:rPr>
        <w:t>Report</w:t>
      </w:r>
      <w:proofErr w:type="spellEnd"/>
      <w:r w:rsidRPr="00944D78">
        <w:rPr>
          <w:rFonts w:ascii="Times New Roman" w:hAnsi="Times New Roman"/>
          <w:color w:val="000000" w:themeColor="text1"/>
          <w:lang w:val="pt-BR"/>
        </w:rPr>
        <w:t xml:space="preserve"> No.: 3. </w:t>
      </w:r>
    </w:p>
    <w:p w:rsidR="00B601FA" w:rsidRPr="00944D78" w:rsidRDefault="004E3D9B">
      <w:pPr>
        <w:pStyle w:val="Bibliography"/>
        <w:rPr>
          <w:color w:val="000000" w:themeColor="text1"/>
          <w:lang w:val="pt-BR"/>
        </w:rPr>
      </w:pPr>
      <w:r w:rsidRPr="00944D78">
        <w:rPr>
          <w:rFonts w:ascii="Times New Roman" w:hAnsi="Times New Roman"/>
          <w:color w:val="000000" w:themeColor="text1"/>
          <w:lang w:val="pt-BR"/>
        </w:rPr>
        <w:t xml:space="preserve">19. </w:t>
      </w:r>
      <w:r w:rsidRPr="00944D78">
        <w:rPr>
          <w:rFonts w:ascii="Times New Roman" w:hAnsi="Times New Roman"/>
          <w:color w:val="000000" w:themeColor="text1"/>
          <w:lang w:val="pt-BR"/>
        </w:rPr>
        <w:tab/>
        <w:t xml:space="preserve">Rezende LFM, </w:t>
      </w:r>
      <w:proofErr w:type="spellStart"/>
      <w:r w:rsidRPr="00944D78">
        <w:rPr>
          <w:rFonts w:ascii="Times New Roman" w:hAnsi="Times New Roman"/>
          <w:color w:val="000000" w:themeColor="text1"/>
          <w:lang w:val="pt-BR"/>
        </w:rPr>
        <w:t>Thome</w:t>
      </w:r>
      <w:proofErr w:type="spellEnd"/>
      <w:r w:rsidRPr="00944D78">
        <w:rPr>
          <w:rFonts w:ascii="Times New Roman" w:hAnsi="Times New Roman"/>
          <w:color w:val="000000" w:themeColor="text1"/>
          <w:lang w:val="pt-BR"/>
        </w:rPr>
        <w:t xml:space="preserve"> B, </w:t>
      </w:r>
      <w:proofErr w:type="spellStart"/>
      <w:r w:rsidRPr="00944D78">
        <w:rPr>
          <w:rFonts w:ascii="Times New Roman" w:hAnsi="Times New Roman"/>
          <w:color w:val="000000" w:themeColor="text1"/>
          <w:lang w:val="pt-BR"/>
        </w:rPr>
        <w:t>Schveitzer</w:t>
      </w:r>
      <w:proofErr w:type="spellEnd"/>
      <w:r w:rsidRPr="00944D78">
        <w:rPr>
          <w:rFonts w:ascii="Times New Roman" w:hAnsi="Times New Roman"/>
          <w:color w:val="000000" w:themeColor="text1"/>
          <w:lang w:val="pt-BR"/>
        </w:rPr>
        <w:t xml:space="preserve"> MC, Souza-Júnior PRB de,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w:t>
      </w:r>
      <w:r w:rsidRPr="00944D78">
        <w:rPr>
          <w:rFonts w:ascii="Times New Roman" w:hAnsi="Times New Roman"/>
          <w:color w:val="000000" w:themeColor="text1"/>
        </w:rPr>
        <w:t xml:space="preserve">Adults at high-risk of severe coronavirus disease-2019 (Covid-19) in Brazil.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Saúde Pública. 2020 May 15;54.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20. </w:t>
      </w:r>
      <w:r w:rsidRPr="00944D78">
        <w:rPr>
          <w:rFonts w:ascii="Times New Roman" w:hAnsi="Times New Roman"/>
          <w:color w:val="000000" w:themeColor="text1"/>
          <w:lang w:val="pt-BR"/>
        </w:rPr>
        <w:tab/>
        <w:t xml:space="preserve">Carvalho L, Nassif Pires L, de Lima Xavier L. COVID-19 e Desigualdade: a distribuição dos fatores de risco no Brasil [Internet]. </w:t>
      </w:r>
      <w:r w:rsidRPr="00944D78">
        <w:rPr>
          <w:rFonts w:ascii="Times New Roman" w:hAnsi="Times New Roman"/>
          <w:color w:val="000000" w:themeColor="text1"/>
        </w:rPr>
        <w:t>2020 Apr. Available from: https://www.researchgate.net/publication/340452851_COVID-19_e_Desigualdade_no_Brasil</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21. </w:t>
      </w:r>
      <w:r w:rsidRPr="00944D78">
        <w:rPr>
          <w:rFonts w:ascii="Times New Roman" w:hAnsi="Times New Roman"/>
          <w:color w:val="000000" w:themeColor="text1"/>
          <w:lang w:val="pt-BR"/>
        </w:rPr>
        <w:tab/>
        <w:t xml:space="preserve">Malta DC, Gonçalves RPF, Machado ÍE, Freitas MI de F, Azeredo C,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Prevalência da hipertensão arterial segundo diferentes critérios diagnósticos, Pesquisa Nacional de Saúde.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bras</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2018 </w:t>
      </w:r>
      <w:proofErr w:type="spellStart"/>
      <w:r w:rsidRPr="00944D78">
        <w:rPr>
          <w:rFonts w:ascii="Times New Roman" w:hAnsi="Times New Roman"/>
          <w:color w:val="000000" w:themeColor="text1"/>
          <w:lang w:val="pt-BR"/>
        </w:rPr>
        <w:t>Nov</w:t>
      </w:r>
      <w:proofErr w:type="spellEnd"/>
      <w:r w:rsidRPr="00944D78">
        <w:rPr>
          <w:rFonts w:ascii="Times New Roman" w:hAnsi="Times New Roman"/>
          <w:color w:val="000000" w:themeColor="text1"/>
          <w:lang w:val="pt-BR"/>
        </w:rPr>
        <w:t xml:space="preserve"> 29;21:e180021.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22. </w:t>
      </w:r>
      <w:r w:rsidRPr="00944D78">
        <w:rPr>
          <w:rFonts w:ascii="Times New Roman" w:hAnsi="Times New Roman"/>
          <w:color w:val="000000" w:themeColor="text1"/>
          <w:lang w:val="pt-BR"/>
        </w:rPr>
        <w:tab/>
        <w:t xml:space="preserve">Andrade SS de A, </w:t>
      </w:r>
      <w:proofErr w:type="spellStart"/>
      <w:r w:rsidRPr="00944D78">
        <w:rPr>
          <w:rFonts w:ascii="Times New Roman" w:hAnsi="Times New Roman"/>
          <w:color w:val="000000" w:themeColor="text1"/>
          <w:lang w:val="pt-BR"/>
        </w:rPr>
        <w:t>Stopa</w:t>
      </w:r>
      <w:proofErr w:type="spellEnd"/>
      <w:r w:rsidRPr="00944D78">
        <w:rPr>
          <w:rFonts w:ascii="Times New Roman" w:hAnsi="Times New Roman"/>
          <w:color w:val="000000" w:themeColor="text1"/>
          <w:lang w:val="pt-BR"/>
        </w:rPr>
        <w:t xml:space="preserve"> SR, Brito AS, </w:t>
      </w:r>
      <w:proofErr w:type="spellStart"/>
      <w:r w:rsidRPr="00944D78">
        <w:rPr>
          <w:rFonts w:ascii="Times New Roman" w:hAnsi="Times New Roman"/>
          <w:color w:val="000000" w:themeColor="text1"/>
          <w:lang w:val="pt-BR"/>
        </w:rPr>
        <w:t>Chueri</w:t>
      </w:r>
      <w:proofErr w:type="spellEnd"/>
      <w:r w:rsidRPr="00944D78">
        <w:rPr>
          <w:rFonts w:ascii="Times New Roman" w:hAnsi="Times New Roman"/>
          <w:color w:val="000000" w:themeColor="text1"/>
          <w:lang w:val="pt-BR"/>
        </w:rPr>
        <w:t xml:space="preserve"> PS,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Malta DC. Prevalência de hipertensão arterial </w:t>
      </w:r>
      <w:proofErr w:type="spellStart"/>
      <w:r w:rsidRPr="00944D78">
        <w:rPr>
          <w:rFonts w:ascii="Times New Roman" w:hAnsi="Times New Roman"/>
          <w:color w:val="000000" w:themeColor="text1"/>
          <w:lang w:val="pt-BR"/>
        </w:rPr>
        <w:t>autorreferida</w:t>
      </w:r>
      <w:proofErr w:type="spellEnd"/>
      <w:r w:rsidRPr="00944D78">
        <w:rPr>
          <w:rFonts w:ascii="Times New Roman" w:hAnsi="Times New Roman"/>
          <w:color w:val="000000" w:themeColor="text1"/>
          <w:lang w:val="pt-BR"/>
        </w:rPr>
        <w:t xml:space="preserve"> na população brasileira: análise da Pesquisa Nacional de Saúde, 2013.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Serv</w:t>
      </w:r>
      <w:proofErr w:type="spellEnd"/>
      <w:r w:rsidRPr="00944D78">
        <w:rPr>
          <w:rFonts w:ascii="Times New Roman" w:hAnsi="Times New Roman"/>
          <w:color w:val="000000" w:themeColor="text1"/>
          <w:lang w:val="pt-BR"/>
        </w:rPr>
        <w:t xml:space="preserve"> Saúde. 2015 Jun;24:297–304.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23.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Iser</w:t>
      </w:r>
      <w:proofErr w:type="spellEnd"/>
      <w:r w:rsidRPr="00944D78">
        <w:rPr>
          <w:rFonts w:ascii="Times New Roman" w:hAnsi="Times New Roman"/>
          <w:color w:val="000000" w:themeColor="text1"/>
          <w:lang w:val="pt-BR"/>
        </w:rPr>
        <w:t xml:space="preserve"> BPM, </w:t>
      </w:r>
      <w:proofErr w:type="spellStart"/>
      <w:r w:rsidRPr="00944D78">
        <w:rPr>
          <w:rFonts w:ascii="Times New Roman" w:hAnsi="Times New Roman"/>
          <w:color w:val="000000" w:themeColor="text1"/>
          <w:lang w:val="pt-BR"/>
        </w:rPr>
        <w:t>Stopa</w:t>
      </w:r>
      <w:proofErr w:type="spellEnd"/>
      <w:r w:rsidRPr="00944D78">
        <w:rPr>
          <w:rFonts w:ascii="Times New Roman" w:hAnsi="Times New Roman"/>
          <w:color w:val="000000" w:themeColor="text1"/>
          <w:lang w:val="pt-BR"/>
        </w:rPr>
        <w:t xml:space="preserve"> SR, </w:t>
      </w:r>
      <w:proofErr w:type="spellStart"/>
      <w:r w:rsidRPr="00944D78">
        <w:rPr>
          <w:rFonts w:ascii="Times New Roman" w:hAnsi="Times New Roman"/>
          <w:color w:val="000000" w:themeColor="text1"/>
          <w:lang w:val="pt-BR"/>
        </w:rPr>
        <w:t>Chueiri</w:t>
      </w:r>
      <w:proofErr w:type="spellEnd"/>
      <w:r w:rsidRPr="00944D78">
        <w:rPr>
          <w:rFonts w:ascii="Times New Roman" w:hAnsi="Times New Roman"/>
          <w:color w:val="000000" w:themeColor="text1"/>
          <w:lang w:val="pt-BR"/>
        </w:rPr>
        <w:t xml:space="preserve"> PS,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Malta DC, Monteiro HO da C, et al. Prevalência de diabetes </w:t>
      </w:r>
      <w:proofErr w:type="spellStart"/>
      <w:r w:rsidRPr="00944D78">
        <w:rPr>
          <w:rFonts w:ascii="Times New Roman" w:hAnsi="Times New Roman"/>
          <w:color w:val="000000" w:themeColor="text1"/>
          <w:lang w:val="pt-BR"/>
        </w:rPr>
        <w:t>autorreferido</w:t>
      </w:r>
      <w:proofErr w:type="spellEnd"/>
      <w:r w:rsidRPr="00944D78">
        <w:rPr>
          <w:rFonts w:ascii="Times New Roman" w:hAnsi="Times New Roman"/>
          <w:color w:val="000000" w:themeColor="text1"/>
          <w:lang w:val="pt-BR"/>
        </w:rPr>
        <w:t xml:space="preserve"> no Brasil: resultados da Pesquisa Nacional de Saúde 2013.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Serv</w:t>
      </w:r>
      <w:proofErr w:type="spellEnd"/>
      <w:r w:rsidRPr="00944D78">
        <w:rPr>
          <w:rFonts w:ascii="Times New Roman" w:hAnsi="Times New Roman"/>
          <w:color w:val="000000" w:themeColor="text1"/>
          <w:lang w:val="pt-BR"/>
        </w:rPr>
        <w:t xml:space="preserve"> Saúde. 2015 Jun;24:305–14.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24.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Iser</w:t>
      </w:r>
      <w:proofErr w:type="spellEnd"/>
      <w:r w:rsidRPr="00944D78">
        <w:rPr>
          <w:rFonts w:ascii="Times New Roman" w:hAnsi="Times New Roman"/>
          <w:color w:val="000000" w:themeColor="text1"/>
          <w:lang w:val="pt-BR"/>
        </w:rPr>
        <w:t xml:space="preserve"> BPM, Malta DC, Duncan BB, de Moura L, Vigo Á, Schmidt MI. </w:t>
      </w:r>
      <w:r w:rsidRPr="00944D78">
        <w:rPr>
          <w:rFonts w:ascii="Times New Roman" w:hAnsi="Times New Roman"/>
          <w:color w:val="000000" w:themeColor="text1"/>
        </w:rPr>
        <w:t xml:space="preserve">Prevalence, Correlates, and Description of Self-Reported Diabetes in Brazilian Capitals – Results from a Telephone Survey. </w:t>
      </w:r>
      <w:proofErr w:type="spellStart"/>
      <w:r w:rsidRPr="00944D78">
        <w:rPr>
          <w:rFonts w:ascii="Times New Roman" w:hAnsi="Times New Roman"/>
          <w:color w:val="000000" w:themeColor="text1"/>
        </w:rPr>
        <w:t>PLoS</w:t>
      </w:r>
      <w:proofErr w:type="spellEnd"/>
      <w:r w:rsidRPr="00944D78">
        <w:rPr>
          <w:rFonts w:ascii="Times New Roman" w:hAnsi="Times New Roman"/>
          <w:color w:val="000000" w:themeColor="text1"/>
        </w:rPr>
        <w:t xml:space="preserve"> One [Internet]. 2014 Sep 25 [cited 2020 Apr 26];9(9). Available from: https://www.ncbi.nlm.nih.gov/pmc/articles/PMC4177870/</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25. </w:t>
      </w:r>
      <w:r w:rsidRPr="00944D78">
        <w:rPr>
          <w:rFonts w:ascii="Times New Roman" w:hAnsi="Times New Roman"/>
          <w:color w:val="000000" w:themeColor="text1"/>
          <w:lang w:val="pt-BR"/>
        </w:rPr>
        <w:tab/>
        <w:t xml:space="preserve">Freitas ARR, </w:t>
      </w:r>
      <w:proofErr w:type="spellStart"/>
      <w:r w:rsidRPr="00944D78">
        <w:rPr>
          <w:rFonts w:ascii="Times New Roman" w:hAnsi="Times New Roman"/>
          <w:color w:val="000000" w:themeColor="text1"/>
          <w:lang w:val="pt-BR"/>
        </w:rPr>
        <w:t>Napimoga</w:t>
      </w:r>
      <w:proofErr w:type="spellEnd"/>
      <w:r w:rsidRPr="00944D78">
        <w:rPr>
          <w:rFonts w:ascii="Times New Roman" w:hAnsi="Times New Roman"/>
          <w:color w:val="000000" w:themeColor="text1"/>
          <w:lang w:val="pt-BR"/>
        </w:rPr>
        <w:t xml:space="preserve"> M, </w:t>
      </w:r>
      <w:proofErr w:type="spellStart"/>
      <w:r w:rsidRPr="00944D78">
        <w:rPr>
          <w:rFonts w:ascii="Times New Roman" w:hAnsi="Times New Roman"/>
          <w:color w:val="000000" w:themeColor="text1"/>
          <w:lang w:val="pt-BR"/>
        </w:rPr>
        <w:t>Donalisio</w:t>
      </w:r>
      <w:proofErr w:type="spellEnd"/>
      <w:r w:rsidRPr="00944D78">
        <w:rPr>
          <w:rFonts w:ascii="Times New Roman" w:hAnsi="Times New Roman"/>
          <w:color w:val="000000" w:themeColor="text1"/>
          <w:lang w:val="pt-BR"/>
        </w:rPr>
        <w:t xml:space="preserve"> MR, Freitas ARR, </w:t>
      </w:r>
      <w:proofErr w:type="spellStart"/>
      <w:r w:rsidRPr="00944D78">
        <w:rPr>
          <w:rFonts w:ascii="Times New Roman" w:hAnsi="Times New Roman"/>
          <w:color w:val="000000" w:themeColor="text1"/>
          <w:lang w:val="pt-BR"/>
        </w:rPr>
        <w:t>Napimoga</w:t>
      </w:r>
      <w:proofErr w:type="spellEnd"/>
      <w:r w:rsidRPr="00944D78">
        <w:rPr>
          <w:rFonts w:ascii="Times New Roman" w:hAnsi="Times New Roman"/>
          <w:color w:val="000000" w:themeColor="text1"/>
          <w:lang w:val="pt-BR"/>
        </w:rPr>
        <w:t xml:space="preserve"> M, </w:t>
      </w:r>
      <w:proofErr w:type="spellStart"/>
      <w:r w:rsidRPr="00944D78">
        <w:rPr>
          <w:rFonts w:ascii="Times New Roman" w:hAnsi="Times New Roman"/>
          <w:color w:val="000000" w:themeColor="text1"/>
          <w:lang w:val="pt-BR"/>
        </w:rPr>
        <w:t>Donalisio</w:t>
      </w:r>
      <w:proofErr w:type="spellEnd"/>
      <w:r w:rsidRPr="00944D78">
        <w:rPr>
          <w:rFonts w:ascii="Times New Roman" w:hAnsi="Times New Roman"/>
          <w:color w:val="000000" w:themeColor="text1"/>
          <w:lang w:val="pt-BR"/>
        </w:rPr>
        <w:t xml:space="preserve"> MR. Análise da gravidade da pandemia de Covid-19. Epidemiologia e Serviços de Saúde [Internet]. </w:t>
      </w:r>
      <w:r w:rsidRPr="00944D78">
        <w:rPr>
          <w:rFonts w:ascii="Times New Roman" w:hAnsi="Times New Roman"/>
          <w:color w:val="000000" w:themeColor="text1"/>
        </w:rPr>
        <w:t>2020 [cited 2020 Apr 28];29(2). Available from: http://www.scielo.br/scielo.php?script=sci_abstract&amp;pid=S2237-96222020000200900&amp;lng=en&amp;nrm=iso&amp;tlng=pt</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26. </w:t>
      </w:r>
      <w:r w:rsidRPr="00944D78">
        <w:rPr>
          <w:rFonts w:ascii="Times New Roman" w:hAnsi="Times New Roman"/>
          <w:color w:val="000000" w:themeColor="text1"/>
          <w:lang w:val="pt-BR"/>
        </w:rPr>
        <w:tab/>
        <w:t xml:space="preserve">IBGE. Pesquisa Nacional de Saúde [Internet]. Instituto Brasileiro de Geografia e Estatística; 2013. </w:t>
      </w:r>
      <w:r w:rsidRPr="00944D78">
        <w:rPr>
          <w:rFonts w:ascii="Times New Roman" w:hAnsi="Times New Roman"/>
          <w:color w:val="000000" w:themeColor="text1"/>
        </w:rPr>
        <w:t>Available from: https://www.ibge.gov.br/estatisticas/sociais/saude/9160-pesquisa-nacional-de-saude.html</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27. </w:t>
      </w:r>
      <w:r w:rsidRPr="00944D78">
        <w:rPr>
          <w:rFonts w:ascii="Times New Roman" w:hAnsi="Times New Roman"/>
          <w:color w:val="000000" w:themeColor="text1"/>
          <w:lang w:val="pt-BR"/>
        </w:rPr>
        <w:tab/>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Malta DC, Pereira CA, Vieira MLFP, Conde WL, Souza Junior PRB de, et al. Pesquisa Nacional de Saúde no Brasil: concepção e metodologia de </w:t>
      </w:r>
      <w:proofErr w:type="spellStart"/>
      <w:r w:rsidRPr="00944D78">
        <w:rPr>
          <w:rFonts w:ascii="Times New Roman" w:hAnsi="Times New Roman"/>
          <w:color w:val="000000" w:themeColor="text1"/>
          <w:lang w:val="pt-BR"/>
        </w:rPr>
        <w:t>aplicacão</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Ciênc</w:t>
      </w:r>
      <w:proofErr w:type="spellEnd"/>
      <w:r w:rsidRPr="00944D78">
        <w:rPr>
          <w:rFonts w:ascii="Times New Roman" w:hAnsi="Times New Roman"/>
          <w:color w:val="000000" w:themeColor="text1"/>
          <w:lang w:val="pt-BR"/>
        </w:rPr>
        <w:t xml:space="preserve"> saúde coletiva. 2014 Feb;19:333–42.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28. </w:t>
      </w:r>
      <w:r w:rsidRPr="00944D78">
        <w:rPr>
          <w:rFonts w:ascii="Times New Roman" w:hAnsi="Times New Roman"/>
          <w:color w:val="000000" w:themeColor="text1"/>
          <w:lang w:val="pt-BR"/>
        </w:rPr>
        <w:tab/>
        <w:t xml:space="preserve">IBGE. Pesquisa Nacional de Saúde 2013: percepção do estado de saúde, estilos de vida e doenças crônicas [Internet]. Rio de Janeiro: IBGE; 2014. </w:t>
      </w:r>
      <w:proofErr w:type="spellStart"/>
      <w:r w:rsidRPr="00944D78">
        <w:rPr>
          <w:rFonts w:ascii="Times New Roman" w:hAnsi="Times New Roman"/>
          <w:color w:val="000000" w:themeColor="text1"/>
          <w:lang w:val="pt-BR"/>
        </w:rPr>
        <w:t>Available</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from</w:t>
      </w:r>
      <w:proofErr w:type="spellEnd"/>
      <w:r w:rsidRPr="00944D78">
        <w:rPr>
          <w:rFonts w:ascii="Times New Roman" w:hAnsi="Times New Roman"/>
          <w:color w:val="000000" w:themeColor="text1"/>
          <w:lang w:val="pt-BR"/>
        </w:rPr>
        <w:t>: https://biblioteca.ibge.gov.br/visualizacao/livros/liv91110.pdf</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29. </w:t>
      </w:r>
      <w:r w:rsidRPr="00944D78">
        <w:rPr>
          <w:rFonts w:ascii="Times New Roman" w:hAnsi="Times New Roman"/>
          <w:color w:val="000000" w:themeColor="text1"/>
        </w:rPr>
        <w:tab/>
        <w:t>Wu C, Chen X, Cai Y, Xia J, Zhou X, Xu S, et al. Risk Factors Associated With Acute Respiratory Distress Syndrome and Death in Patients With Coronavirus Disease 2019 Pneumonia in Wuhan, China. JAMA Intern Med [Internet]. 2020 Mar 13 [cited 2020 May 8]; Available from: https://jamanetwork.com/journals/jamainternalmedicine/fullarticle/2763184</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30. </w:t>
      </w:r>
      <w:r w:rsidRPr="00944D78">
        <w:rPr>
          <w:rFonts w:ascii="Times New Roman" w:hAnsi="Times New Roman"/>
          <w:color w:val="000000" w:themeColor="text1"/>
        </w:rPr>
        <w:tab/>
        <w:t xml:space="preserve">COVID-19 Surveillance Group. Characteristics of COVID-19 patients dying in Italy: report based on available data on March 20th, 2020. [Internet]. Rome, Italy: Instituto </w:t>
      </w:r>
      <w:proofErr w:type="spellStart"/>
      <w:r w:rsidRPr="00944D78">
        <w:rPr>
          <w:rFonts w:ascii="Times New Roman" w:hAnsi="Times New Roman"/>
          <w:color w:val="000000" w:themeColor="text1"/>
        </w:rPr>
        <w:t>Superiore</w:t>
      </w:r>
      <w:proofErr w:type="spellEnd"/>
      <w:r w:rsidRPr="00944D78">
        <w:rPr>
          <w:rFonts w:ascii="Times New Roman" w:hAnsi="Times New Roman"/>
          <w:color w:val="000000" w:themeColor="text1"/>
        </w:rPr>
        <w:t xml:space="preserve"> Di </w:t>
      </w:r>
      <w:proofErr w:type="spellStart"/>
      <w:r w:rsidRPr="00944D78">
        <w:rPr>
          <w:rFonts w:ascii="Times New Roman" w:hAnsi="Times New Roman"/>
          <w:color w:val="000000" w:themeColor="text1"/>
        </w:rPr>
        <w:t>Sanita</w:t>
      </w:r>
      <w:proofErr w:type="spellEnd"/>
      <w:r w:rsidRPr="00944D78">
        <w:rPr>
          <w:rFonts w:ascii="Times New Roman" w:hAnsi="Times New Roman"/>
          <w:color w:val="000000" w:themeColor="text1"/>
        </w:rPr>
        <w:t>; 2020. Available from: https://www.epicentro.iss.it/coronavirus/bollettino/Report-COVID-2019_20_marzo_eng.pdf</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lastRenderedPageBreak/>
        <w:t xml:space="preserve">31. </w:t>
      </w:r>
      <w:r w:rsidRPr="00944D78">
        <w:rPr>
          <w:rFonts w:ascii="Times New Roman" w:hAnsi="Times New Roman"/>
          <w:color w:val="000000" w:themeColor="text1"/>
        </w:rPr>
        <w:tab/>
        <w:t xml:space="preserve">Chow N, Fleming-Dutra K, </w:t>
      </w:r>
      <w:proofErr w:type="spellStart"/>
      <w:r w:rsidRPr="00944D78">
        <w:rPr>
          <w:rFonts w:ascii="Times New Roman" w:hAnsi="Times New Roman"/>
          <w:color w:val="000000" w:themeColor="text1"/>
        </w:rPr>
        <w:t>Gierke</w:t>
      </w:r>
      <w:proofErr w:type="spellEnd"/>
      <w:r w:rsidRPr="00944D78">
        <w:rPr>
          <w:rFonts w:ascii="Times New Roman" w:hAnsi="Times New Roman"/>
          <w:color w:val="000000" w:themeColor="text1"/>
        </w:rPr>
        <w:t xml:space="preserve"> R, Hall A, Hughes M, </w:t>
      </w:r>
      <w:proofErr w:type="spellStart"/>
      <w:r w:rsidRPr="00944D78">
        <w:rPr>
          <w:rFonts w:ascii="Times New Roman" w:hAnsi="Times New Roman"/>
          <w:color w:val="000000" w:themeColor="text1"/>
        </w:rPr>
        <w:t>Pilishvili</w:t>
      </w:r>
      <w:proofErr w:type="spellEnd"/>
      <w:r w:rsidRPr="00944D78">
        <w:rPr>
          <w:rFonts w:ascii="Times New Roman" w:hAnsi="Times New Roman"/>
          <w:color w:val="000000" w:themeColor="text1"/>
        </w:rPr>
        <w:t xml:space="preserve"> T, et al. Preliminary Estimates of the Prevalence of Selected Underlying Health Conditions Among Patients with Coronavirus Disease 2019 — United States, February 12–March 28, 2020. MMWR </w:t>
      </w:r>
      <w:proofErr w:type="spellStart"/>
      <w:r w:rsidRPr="00944D78">
        <w:rPr>
          <w:rFonts w:ascii="Times New Roman" w:hAnsi="Times New Roman"/>
          <w:color w:val="000000" w:themeColor="text1"/>
        </w:rPr>
        <w:t>Morb</w:t>
      </w:r>
      <w:proofErr w:type="spellEnd"/>
      <w:r w:rsidRPr="00944D78">
        <w:rPr>
          <w:rFonts w:ascii="Times New Roman" w:hAnsi="Times New Roman"/>
          <w:color w:val="000000" w:themeColor="text1"/>
        </w:rPr>
        <w:t xml:space="preserve"> Mortal </w:t>
      </w:r>
      <w:proofErr w:type="spellStart"/>
      <w:r w:rsidRPr="00944D78">
        <w:rPr>
          <w:rFonts w:ascii="Times New Roman" w:hAnsi="Times New Roman"/>
          <w:color w:val="000000" w:themeColor="text1"/>
        </w:rPr>
        <w:t>Wkly</w:t>
      </w:r>
      <w:proofErr w:type="spellEnd"/>
      <w:r w:rsidRPr="00944D78">
        <w:rPr>
          <w:rFonts w:ascii="Times New Roman" w:hAnsi="Times New Roman"/>
          <w:color w:val="000000" w:themeColor="text1"/>
        </w:rPr>
        <w:t xml:space="preserve"> Rep. 2020 Apr 3;69(13):382–6.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32. </w:t>
      </w:r>
      <w:r w:rsidRPr="00944D78">
        <w:rPr>
          <w:rFonts w:ascii="Times New Roman" w:hAnsi="Times New Roman"/>
          <w:color w:val="000000" w:themeColor="text1"/>
        </w:rPr>
        <w:tab/>
        <w:t xml:space="preserve">Jewell NP. Statistics for epidemiology. CRC Press; 2003. </w:t>
      </w:r>
    </w:p>
    <w:p w:rsidR="00B601FA" w:rsidRPr="00944D78" w:rsidRDefault="004E3D9B">
      <w:pPr>
        <w:pStyle w:val="Bibliography"/>
        <w:rPr>
          <w:color w:val="000000" w:themeColor="text1"/>
          <w:lang w:val="pt-BR"/>
        </w:rPr>
      </w:pPr>
      <w:r w:rsidRPr="00944D78">
        <w:rPr>
          <w:rFonts w:ascii="Times New Roman" w:hAnsi="Times New Roman"/>
          <w:color w:val="000000" w:themeColor="text1"/>
        </w:rPr>
        <w:t xml:space="preserve">33. </w:t>
      </w:r>
      <w:r w:rsidRPr="00944D78">
        <w:rPr>
          <w:rFonts w:ascii="Times New Roman" w:hAnsi="Times New Roman"/>
          <w:color w:val="000000" w:themeColor="text1"/>
        </w:rPr>
        <w:tab/>
        <w:t xml:space="preserve">McFadden D. Conditional logit analysis of qualitative choice behavior. </w:t>
      </w:r>
      <w:r w:rsidRPr="00944D78">
        <w:rPr>
          <w:rFonts w:ascii="Times New Roman" w:hAnsi="Times New Roman"/>
          <w:color w:val="000000" w:themeColor="text1"/>
          <w:lang w:val="pt-BR"/>
        </w:rPr>
        <w:t xml:space="preserve">1973; </w:t>
      </w:r>
    </w:p>
    <w:p w:rsidR="00B601FA" w:rsidRPr="00944D78" w:rsidRDefault="004E3D9B">
      <w:pPr>
        <w:pStyle w:val="Bibliography"/>
        <w:rPr>
          <w:rFonts w:ascii="Times New Roman" w:hAnsi="Times New Roman"/>
          <w:color w:val="000000" w:themeColor="text1"/>
          <w:lang w:val="pt-BR"/>
        </w:rPr>
      </w:pPr>
      <w:r w:rsidRPr="00944D78">
        <w:rPr>
          <w:rFonts w:ascii="Times New Roman" w:hAnsi="Times New Roman"/>
          <w:color w:val="000000" w:themeColor="text1"/>
          <w:lang w:val="pt-BR"/>
        </w:rPr>
        <w:t xml:space="preserve">34. </w:t>
      </w:r>
      <w:r w:rsidRPr="00944D78">
        <w:rPr>
          <w:rFonts w:ascii="Times New Roman" w:hAnsi="Times New Roman"/>
          <w:color w:val="000000" w:themeColor="text1"/>
          <w:lang w:val="pt-BR"/>
        </w:rPr>
        <w:tab/>
        <w:t xml:space="preserve">Moura L de, Andrade SSC de A, Malta DC, Pereira CA, Passos JEF. Prevalência de </w:t>
      </w:r>
      <w:proofErr w:type="spellStart"/>
      <w:r w:rsidRPr="00944D78">
        <w:rPr>
          <w:rFonts w:ascii="Times New Roman" w:hAnsi="Times New Roman"/>
          <w:color w:val="000000" w:themeColor="text1"/>
          <w:lang w:val="pt-BR"/>
        </w:rPr>
        <w:t>autorrelato</w:t>
      </w:r>
      <w:proofErr w:type="spellEnd"/>
      <w:r w:rsidRPr="00944D78">
        <w:rPr>
          <w:rFonts w:ascii="Times New Roman" w:hAnsi="Times New Roman"/>
          <w:color w:val="000000" w:themeColor="text1"/>
          <w:lang w:val="pt-BR"/>
        </w:rPr>
        <w:t xml:space="preserve"> de diagnóstico médico de doença renal crônica no Brasil: Pesquisa Nacional de Saúde, 2013. </w:t>
      </w:r>
      <w:proofErr w:type="spellStart"/>
      <w:r w:rsidRPr="00944D78">
        <w:rPr>
          <w:rFonts w:ascii="Times New Roman" w:hAnsi="Times New Roman"/>
          <w:color w:val="000000" w:themeColor="text1"/>
          <w:lang w:val="pt-BR"/>
        </w:rPr>
        <w:t>Rev</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bras</w:t>
      </w:r>
      <w:proofErr w:type="spellEnd"/>
      <w:r w:rsidRPr="00944D78">
        <w:rPr>
          <w:rFonts w:ascii="Times New Roman" w:hAnsi="Times New Roman"/>
          <w:color w:val="000000" w:themeColor="text1"/>
          <w:lang w:val="pt-BR"/>
        </w:rPr>
        <w:t xml:space="preserve"> </w:t>
      </w:r>
      <w:proofErr w:type="spellStart"/>
      <w:r w:rsidRPr="00944D78">
        <w:rPr>
          <w:rFonts w:ascii="Times New Roman" w:hAnsi="Times New Roman"/>
          <w:color w:val="000000" w:themeColor="text1"/>
          <w:lang w:val="pt-BR"/>
        </w:rPr>
        <w:t>epidemiol</w:t>
      </w:r>
      <w:proofErr w:type="spellEnd"/>
      <w:r w:rsidRPr="00944D78">
        <w:rPr>
          <w:rFonts w:ascii="Times New Roman" w:hAnsi="Times New Roman"/>
          <w:color w:val="000000" w:themeColor="text1"/>
          <w:lang w:val="pt-BR"/>
        </w:rPr>
        <w:t xml:space="preserve">. 2015 Dec;18:181–91. </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35. </w:t>
      </w:r>
      <w:r w:rsidRPr="00944D78">
        <w:rPr>
          <w:rFonts w:ascii="Times New Roman" w:hAnsi="Times New Roman"/>
          <w:color w:val="000000" w:themeColor="text1"/>
          <w:lang w:val="pt-BR"/>
        </w:rPr>
        <w:tab/>
        <w:t xml:space="preserve">Menezes AMB, </w:t>
      </w:r>
      <w:proofErr w:type="spellStart"/>
      <w:r w:rsidRPr="00944D78">
        <w:rPr>
          <w:rFonts w:ascii="Times New Roman" w:hAnsi="Times New Roman"/>
          <w:color w:val="000000" w:themeColor="text1"/>
          <w:lang w:val="pt-BR"/>
        </w:rPr>
        <w:t>Wehrmeister</w:t>
      </w:r>
      <w:proofErr w:type="spellEnd"/>
      <w:r w:rsidRPr="00944D78">
        <w:rPr>
          <w:rFonts w:ascii="Times New Roman" w:hAnsi="Times New Roman"/>
          <w:color w:val="000000" w:themeColor="text1"/>
          <w:lang w:val="pt-BR"/>
        </w:rPr>
        <w:t xml:space="preserve"> FC, Horta B, </w:t>
      </w:r>
      <w:proofErr w:type="spellStart"/>
      <w:r w:rsidRPr="00944D78">
        <w:rPr>
          <w:rFonts w:ascii="Times New Roman" w:hAnsi="Times New Roman"/>
          <w:color w:val="000000" w:themeColor="text1"/>
          <w:lang w:val="pt-BR"/>
        </w:rPr>
        <w:t>Szwarcwald</w:t>
      </w:r>
      <w:proofErr w:type="spellEnd"/>
      <w:r w:rsidRPr="00944D78">
        <w:rPr>
          <w:rFonts w:ascii="Times New Roman" w:hAnsi="Times New Roman"/>
          <w:color w:val="000000" w:themeColor="text1"/>
          <w:lang w:val="pt-BR"/>
        </w:rPr>
        <w:t xml:space="preserve"> CL, Vieira ML, Malta DC. Prevalência de diagnóstico médico de asma em adultos brasileiros: Pesquisa Nacional de Saúde, 2013. </w:t>
      </w:r>
      <w:r w:rsidRPr="00944D78">
        <w:rPr>
          <w:rFonts w:ascii="Times New Roman" w:hAnsi="Times New Roman"/>
          <w:color w:val="000000" w:themeColor="text1"/>
        </w:rPr>
        <w:t xml:space="preserve">Rev bras </w:t>
      </w:r>
      <w:proofErr w:type="spellStart"/>
      <w:r w:rsidRPr="00944D78">
        <w:rPr>
          <w:rFonts w:ascii="Times New Roman" w:hAnsi="Times New Roman"/>
          <w:color w:val="000000" w:themeColor="text1"/>
        </w:rPr>
        <w:t>epidemiol</w:t>
      </w:r>
      <w:proofErr w:type="spellEnd"/>
      <w:r w:rsidRPr="00944D78">
        <w:rPr>
          <w:rFonts w:ascii="Times New Roman" w:hAnsi="Times New Roman"/>
          <w:color w:val="000000" w:themeColor="text1"/>
        </w:rPr>
        <w:t xml:space="preserve">. 2015 Dec;18:204–13. </w:t>
      </w:r>
    </w:p>
    <w:p w:rsidR="00B601FA" w:rsidRPr="00944D78" w:rsidRDefault="004E3D9B">
      <w:pPr>
        <w:pStyle w:val="Bibliography"/>
        <w:rPr>
          <w:rFonts w:ascii="Times New Roman" w:hAnsi="Times New Roman"/>
          <w:color w:val="000000" w:themeColor="text1"/>
        </w:rPr>
      </w:pPr>
      <w:r w:rsidRPr="00944D78">
        <w:rPr>
          <w:rFonts w:ascii="Times New Roman" w:hAnsi="Times New Roman"/>
          <w:color w:val="000000" w:themeColor="text1"/>
        </w:rPr>
        <w:t xml:space="preserve">36. </w:t>
      </w:r>
      <w:r w:rsidRPr="00944D78">
        <w:rPr>
          <w:rFonts w:ascii="Times New Roman" w:hAnsi="Times New Roman"/>
          <w:color w:val="000000" w:themeColor="text1"/>
        </w:rPr>
        <w:tab/>
        <w:t xml:space="preserve">Alves RFS, </w:t>
      </w:r>
      <w:proofErr w:type="spellStart"/>
      <w:r w:rsidRPr="00944D78">
        <w:rPr>
          <w:rFonts w:ascii="Times New Roman" w:hAnsi="Times New Roman"/>
          <w:color w:val="000000" w:themeColor="text1"/>
        </w:rPr>
        <w:t>Faerstein</w:t>
      </w:r>
      <w:proofErr w:type="spellEnd"/>
      <w:r w:rsidRPr="00944D78">
        <w:rPr>
          <w:rFonts w:ascii="Times New Roman" w:hAnsi="Times New Roman"/>
          <w:color w:val="000000" w:themeColor="text1"/>
        </w:rPr>
        <w:t xml:space="preserve"> E. Educational inequalities in hypertension: complex patterns in intersections with gender and race in Brazil. </w:t>
      </w:r>
      <w:proofErr w:type="spellStart"/>
      <w:r w:rsidRPr="00944D78">
        <w:rPr>
          <w:rFonts w:ascii="Times New Roman" w:hAnsi="Times New Roman"/>
          <w:color w:val="000000" w:themeColor="text1"/>
        </w:rPr>
        <w:t>Int</w:t>
      </w:r>
      <w:proofErr w:type="spellEnd"/>
      <w:r w:rsidRPr="00944D78">
        <w:rPr>
          <w:rFonts w:ascii="Times New Roman" w:hAnsi="Times New Roman"/>
          <w:color w:val="000000" w:themeColor="text1"/>
        </w:rPr>
        <w:t xml:space="preserve"> J Equity Health [Internet]. 2016 Nov 17 [cited 2020 Apr 26];15. Available from: https://www.ncbi.nlm.nih.gov/pmc/articles/PMC5112659/</w:t>
      </w:r>
    </w:p>
    <w:p w:rsidR="00B601FA" w:rsidRPr="00944D78" w:rsidRDefault="004E3D9B">
      <w:pPr>
        <w:pStyle w:val="Bibliography"/>
        <w:rPr>
          <w:color w:val="000000" w:themeColor="text1"/>
        </w:rPr>
      </w:pPr>
      <w:r w:rsidRPr="00944D78">
        <w:rPr>
          <w:rFonts w:ascii="Times New Roman" w:hAnsi="Times New Roman"/>
          <w:color w:val="000000" w:themeColor="text1"/>
          <w:lang w:val="pt-BR"/>
        </w:rPr>
        <w:t xml:space="preserve">37. </w:t>
      </w:r>
      <w:r w:rsidRPr="00944D78">
        <w:rPr>
          <w:rFonts w:ascii="Times New Roman" w:hAnsi="Times New Roman"/>
          <w:color w:val="000000" w:themeColor="text1"/>
          <w:lang w:val="pt-BR"/>
        </w:rPr>
        <w:tab/>
        <w:t xml:space="preserve">IDF. IDF DIABETES ATLAS [Internet]. </w:t>
      </w:r>
      <w:r w:rsidRPr="00944D78">
        <w:rPr>
          <w:rFonts w:ascii="Times New Roman" w:hAnsi="Times New Roman"/>
          <w:color w:val="000000" w:themeColor="text1"/>
        </w:rPr>
        <w:t xml:space="preserve">Brussels, Belgium: International Diabetes Federation,; 2019 [cited 2019 Apr 15]. Report No.: 9th </w:t>
      </w:r>
      <w:proofErr w:type="spellStart"/>
      <w:r w:rsidRPr="00944D78">
        <w:rPr>
          <w:rFonts w:ascii="Times New Roman" w:hAnsi="Times New Roman"/>
          <w:color w:val="000000" w:themeColor="text1"/>
        </w:rPr>
        <w:t>edn</w:t>
      </w:r>
      <w:proofErr w:type="spellEnd"/>
      <w:r w:rsidRPr="00944D78">
        <w:rPr>
          <w:rFonts w:ascii="Times New Roman" w:hAnsi="Times New Roman"/>
          <w:color w:val="000000" w:themeColor="text1"/>
        </w:rPr>
        <w:t>. Available from: https://www.diabetesatlas.org</w:t>
      </w:r>
    </w:p>
    <w:p w:rsidR="00B601FA" w:rsidRPr="00944D78" w:rsidRDefault="00B601FA">
      <w:pPr>
        <w:pStyle w:val="Bibliography"/>
        <w:rPr>
          <w:rFonts w:ascii="Times New Roman" w:hAnsi="Times New Roman"/>
          <w:color w:val="000000" w:themeColor="text1"/>
        </w:rPr>
      </w:pPr>
    </w:p>
    <w:sectPr w:rsidR="00B601FA" w:rsidRPr="00944D78" w:rsidSect="00E656A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750" w:rsidRDefault="009D4750">
      <w:pPr>
        <w:spacing w:before="0" w:after="0" w:line="240" w:lineRule="auto"/>
      </w:pPr>
      <w:r>
        <w:separator/>
      </w:r>
    </w:p>
  </w:endnote>
  <w:endnote w:type="continuationSeparator" w:id="0">
    <w:p w:rsidR="009D4750" w:rsidRDefault="009D4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750" w:rsidRDefault="009D4750">
      <w:pPr>
        <w:spacing w:before="0" w:after="0" w:line="240" w:lineRule="auto"/>
      </w:pPr>
      <w:r>
        <w:rPr>
          <w:color w:val="000000"/>
        </w:rPr>
        <w:separator/>
      </w:r>
    </w:p>
  </w:footnote>
  <w:footnote w:type="continuationSeparator" w:id="0">
    <w:p w:rsidR="009D4750" w:rsidRDefault="009D4750">
      <w:pPr>
        <w:spacing w:before="0" w:after="0" w:line="240" w:lineRule="auto"/>
      </w:pPr>
      <w:r>
        <w:continuationSeparator/>
      </w:r>
    </w:p>
  </w:footnote>
  <w:footnote w:id="1">
    <w:p w:rsidR="008569A9" w:rsidRPr="008569A9" w:rsidRDefault="008569A9">
      <w:pPr>
        <w:pStyle w:val="FootnoteText"/>
        <w:rPr>
          <w:rFonts w:ascii="Times" w:hAnsi="Times"/>
          <w:lang w:val="pt-BR"/>
        </w:rPr>
      </w:pPr>
      <w:r w:rsidRPr="008569A9">
        <w:rPr>
          <w:rStyle w:val="FootnoteReference"/>
          <w:rFonts w:ascii="Times" w:hAnsi="Times"/>
          <w:vertAlign w:val="baseline"/>
        </w:rPr>
        <w:footnoteRef/>
      </w:r>
      <w:r w:rsidRPr="008569A9">
        <w:rPr>
          <w:rFonts w:ascii="Times" w:hAnsi="Times"/>
          <w:lang w:val="pt-BR"/>
        </w:rPr>
        <w:t xml:space="preserve"> O IBGE está isento de qualquer responsabilidade pelas opiniões, informações, dados e conceitos emitidos neste artigo, que são de exclusiva responsabilidade dos autores.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9540F"/>
    <w:multiLevelType w:val="multilevel"/>
    <w:tmpl w:val="06D6B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oNotDisplayPageBoundaries/>
  <w:proofState w:spelling="clean"/>
  <w:defaultTabStop w:val="708"/>
  <w:autoHyphenation/>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FA"/>
    <w:rsid w:val="004E3D9B"/>
    <w:rsid w:val="008569A9"/>
    <w:rsid w:val="00944D78"/>
    <w:rsid w:val="009D4750"/>
    <w:rsid w:val="00B601FA"/>
    <w:rsid w:val="00E656AC"/>
    <w:rsid w:val="00F0364B"/>
    <w:rsid w:val="00FE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FDED"/>
  <w15:docId w15:val="{E61B0DE6-3BB0-1D4E-B04F-9EB12F3D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before="240" w:after="240" w:line="360" w:lineRule="auto"/>
      <w:jc w:val="both"/>
    </w:pPr>
    <w:rPr>
      <w:rFonts w:eastAsia="Times New Roman"/>
      <w:sz w:val="24"/>
      <w:szCs w:val="24"/>
      <w:lang w:eastAsia="pt-BR"/>
    </w:rPr>
  </w:style>
  <w:style w:type="paragraph" w:styleId="Heading2">
    <w:name w:val="heading 2"/>
    <w:basedOn w:val="Normal"/>
    <w:uiPriority w:val="9"/>
    <w:semiHidden/>
    <w:unhideWhenUsed/>
    <w:qFormat/>
    <w:pPr>
      <w:spacing w:before="100" w:after="100" w:line="240" w:lineRule="auto"/>
      <w:jc w:val="left"/>
      <w:outlineLvl w:val="1"/>
    </w:pPr>
    <w:rPr>
      <w:rFonts w:ascii="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pPr>
      <w:tabs>
        <w:tab w:val="left" w:pos="500"/>
      </w:tabs>
      <w:spacing w:line="240" w:lineRule="auto"/>
      <w:ind w:left="504" w:hanging="504"/>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252"/>
        <w:tab w:val="right" w:pos="8504"/>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252"/>
        <w:tab w:val="right" w:pos="8504"/>
      </w:tabs>
      <w:spacing w:after="0" w:line="240" w:lineRule="auto"/>
    </w:pPr>
  </w:style>
  <w:style w:type="character" w:customStyle="1" w:styleId="FooterChar">
    <w:name w:val="Footer Char"/>
    <w:basedOn w:val="DefaultParagraphFont"/>
  </w:style>
  <w:style w:type="character" w:styleId="Hyperlink">
    <w:name w:val="Hyperlink"/>
    <w:rPr>
      <w:color w:val="0563C1"/>
      <w:u w:val="single"/>
    </w:rPr>
  </w:style>
  <w:style w:type="character" w:customStyle="1" w:styleId="hps">
    <w:name w:val="hps"/>
    <w:basedOn w:val="DefaultParagraphFont"/>
  </w:style>
  <w:style w:type="paragraph" w:styleId="ListParagraph">
    <w:name w:val="List Paragraph"/>
    <w:basedOn w:val="Normal"/>
    <w:pPr>
      <w:ind w:left="720"/>
    </w:pPr>
    <w:rPr>
      <w:b/>
      <w:sz w:val="26"/>
    </w:rPr>
  </w:style>
  <w:style w:type="paragraph" w:styleId="Caption">
    <w:name w:val="caption"/>
    <w:basedOn w:val="Normal"/>
    <w:next w:val="Normal"/>
    <w:pPr>
      <w:spacing w:after="200" w:line="240" w:lineRule="auto"/>
    </w:pPr>
    <w:rPr>
      <w:b/>
      <w:i/>
      <w:iCs/>
      <w:szCs w:val="18"/>
    </w:rPr>
  </w:style>
  <w:style w:type="character" w:styleId="PlaceholderText">
    <w:name w:val="Placeholder Text"/>
    <w:rPr>
      <w:color w:val="808080"/>
    </w:rPr>
  </w:style>
  <w:style w:type="paragraph" w:styleId="NormalWeb">
    <w:name w:val="Normal (Web)"/>
    <w:basedOn w:val="Normal"/>
    <w:pPr>
      <w:spacing w:before="100" w:after="100" w:line="240" w:lineRule="auto"/>
    </w:pPr>
    <w:rPr>
      <w:rFonts w:ascii="Times New Roman" w:hAnsi="Times New Roman"/>
    </w:rPr>
  </w:style>
  <w:style w:type="paragraph" w:styleId="BalloonText">
    <w:name w:val="Balloon Text"/>
    <w:basedOn w:val="Normal"/>
    <w:pPr>
      <w:spacing w:before="0" w:after="0" w:line="240" w:lineRule="auto"/>
    </w:pPr>
    <w:rPr>
      <w:rFonts w:ascii="Tahoma" w:hAnsi="Tahoma" w:cs="Tahoma"/>
      <w:sz w:val="16"/>
      <w:szCs w:val="16"/>
    </w:rPr>
  </w:style>
  <w:style w:type="character" w:customStyle="1" w:styleId="BalloonTextChar">
    <w:name w:val="Balloon Text Char"/>
    <w:rPr>
      <w:rFonts w:ascii="Tahoma" w:eastAsia="Times New Roman" w:hAnsi="Tahoma" w:cs="Tahoma"/>
      <w:sz w:val="16"/>
      <w:szCs w:val="16"/>
      <w:lang w:val="en-US" w:eastAsia="pt-BR"/>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rFonts w:eastAsia="Times New Roman" w:cs="Times New Roman"/>
      <w:sz w:val="20"/>
      <w:szCs w:val="20"/>
      <w:lang w:val="en-US" w:eastAsia="pt-BR"/>
    </w:rPr>
  </w:style>
  <w:style w:type="paragraph" w:styleId="CommentSubject">
    <w:name w:val="annotation subject"/>
    <w:basedOn w:val="CommentText"/>
    <w:next w:val="CommentText"/>
    <w:rPr>
      <w:b/>
      <w:bCs/>
    </w:rPr>
  </w:style>
  <w:style w:type="character" w:customStyle="1" w:styleId="CommentSubjectChar">
    <w:name w:val="Comment Subject Char"/>
    <w:rPr>
      <w:rFonts w:eastAsia="Times New Roman" w:cs="Times New Roman"/>
      <w:b/>
      <w:bCs/>
      <w:sz w:val="20"/>
      <w:szCs w:val="20"/>
      <w:lang w:val="en-US" w:eastAsia="pt-BR"/>
    </w:rPr>
  </w:style>
  <w:style w:type="character" w:customStyle="1" w:styleId="st">
    <w:name w:val="st"/>
    <w:basedOn w:val="DefaultParagraphFont"/>
  </w:style>
  <w:style w:type="character" w:styleId="Emphasis">
    <w:name w:val="Emphasis"/>
    <w:rPr>
      <w:i/>
      <w:iCs/>
    </w:rPr>
  </w:style>
  <w:style w:type="paragraph" w:styleId="Revision">
    <w:name w:val="Revision"/>
    <w:pPr>
      <w:suppressAutoHyphens/>
    </w:pPr>
    <w:rPr>
      <w:rFonts w:eastAsia="Times New Roman"/>
      <w:sz w:val="24"/>
      <w:szCs w:val="24"/>
      <w:lang w:eastAsia="pt-BR"/>
    </w:rPr>
  </w:style>
  <w:style w:type="paragraph" w:styleId="EndnoteText">
    <w:name w:val="endnote text"/>
    <w:basedOn w:val="Normal"/>
    <w:pPr>
      <w:spacing w:before="0" w:after="0" w:line="240" w:lineRule="auto"/>
    </w:pPr>
    <w:rPr>
      <w:sz w:val="20"/>
      <w:szCs w:val="20"/>
    </w:rPr>
  </w:style>
  <w:style w:type="character" w:customStyle="1" w:styleId="EndnoteTextChar">
    <w:name w:val="Endnote Text Char"/>
    <w:rPr>
      <w:rFonts w:eastAsia="Times New Roman" w:cs="Times New Roman"/>
      <w:sz w:val="20"/>
      <w:szCs w:val="20"/>
      <w:lang w:val="en-US" w:eastAsia="pt-BR"/>
    </w:rPr>
  </w:style>
  <w:style w:type="character" w:styleId="EndnoteReference">
    <w:name w:val="endnote reference"/>
    <w:rPr>
      <w:position w:val="0"/>
      <w:vertAlign w:val="superscript"/>
    </w:rPr>
  </w:style>
  <w:style w:type="character" w:customStyle="1" w:styleId="Heading2Char">
    <w:name w:val="Heading 2 Char"/>
    <w:rPr>
      <w:rFonts w:ascii="Times New Roman" w:eastAsia="Times New Roman" w:hAnsi="Times New Roman" w:cs="Times New Roman"/>
      <w:b/>
      <w:bCs/>
      <w:sz w:val="36"/>
      <w:szCs w:val="36"/>
      <w:lang w:val="en-US"/>
    </w:rPr>
  </w:style>
  <w:style w:type="character" w:styleId="LineNumber">
    <w:name w:val="line number"/>
    <w:basedOn w:val="DefaultParagraphFont"/>
  </w:style>
  <w:style w:type="paragraph" w:styleId="DocumentMap">
    <w:name w:val="Document Map"/>
    <w:basedOn w:val="Normal"/>
    <w:pPr>
      <w:spacing w:before="0" w:after="0" w:line="240" w:lineRule="auto"/>
    </w:pPr>
    <w:rPr>
      <w:rFonts w:ascii="Times New Roman" w:hAnsi="Times New Roman"/>
    </w:rPr>
  </w:style>
  <w:style w:type="character" w:customStyle="1" w:styleId="DocumentMapChar">
    <w:name w:val="Document Map Char"/>
    <w:rPr>
      <w:rFonts w:ascii="Times New Roman" w:eastAsia="Times New Roman" w:hAnsi="Times New Roman" w:cs="Times New Roman"/>
      <w:sz w:val="24"/>
      <w:szCs w:val="24"/>
      <w:lang w:val="en-US" w:eastAsia="pt-BR"/>
    </w:rPr>
  </w:style>
  <w:style w:type="character" w:styleId="UnresolvedMention">
    <w:name w:val="Unresolved Mention"/>
    <w:rPr>
      <w:color w:val="605E5C"/>
      <w:shd w:val="clear" w:color="auto" w:fill="E1DFDD"/>
    </w:rPr>
  </w:style>
  <w:style w:type="character" w:styleId="FollowedHyperlink">
    <w:name w:val="FollowedHyperlink"/>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EA6B-D0A9-3248-B80C-0F2C7AF7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7325</Words>
  <Characters>41753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Mendes Borges</dc:creator>
  <dc:description/>
  <cp:lastModifiedBy>Gabriel Mendes Borges</cp:lastModifiedBy>
  <cp:revision>5</cp:revision>
  <cp:lastPrinted>2015-09-26T03:07:00Z</cp:lastPrinted>
  <dcterms:created xsi:type="dcterms:W3CDTF">2020-08-15T00:24:00Z</dcterms:created>
  <dcterms:modified xsi:type="dcterms:W3CDTF">2020-08-15T01:32:00Z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id="4f3FbfgM"/&gt;&lt;style id="http://www.zotero.org/styles/vancouver-superscript" locale="en-US" hasBibliography="1" bibliographyStyleHasBeenSet="1"/&gt;&lt;prefs&gt;&lt;pref name="fieldType" value="Field"/&gt;&lt;pref na</vt:lpwstr>
  </property>
  <property fmtid="{D5CDD505-2E9C-101B-9397-08002B2CF9AE}" pid="3" name="ZOTERO_PREF_2">
    <vt:lpwstr>me="dontAskDelayCitationUpdates" value="true"/&gt;&lt;/prefs&gt;&lt;/data&gt;</vt:lpwstr>
  </property>
  <property fmtid="{D5CDD505-2E9C-101B-9397-08002B2CF9AE}" pid="4" name="ZOTERO_BREF_pbXDyedUGZax_1">
    <vt:lpwstr>ZOTERO_ITEM CSL_CITATION {"citationID":"MP6RHRel","properties":{"formattedCitation":"(Omran 1971)","plainCitation":"(Omran 1971)"},"citationItems":[{"id":6,"uris":["http://zotero.org/users/local/ZvnVvjeS/items/UH49DSBX"],"uri":["http://zotero.org/users/lo</vt:lpwstr>
  </property>
  <property fmtid="{D5CDD505-2E9C-101B-9397-08002B2CF9AE}" pid="5" name="ZOTERO_BREF_pbXDyedUGZax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6" name="ZOTERO_BREF_pbXDyedUGZax_3">
    <vt:lpwstr>ue":"4","source":"JSTOR","DOI":"10.2307/3349375","ISSN":"0026-3745","shortTitle":"The Epidemiologic Transition","journalAbbreviation":"The Milbank Memorial Fund Quarterly","author":[{"family":"Omran","given":"Abdel R."}],"issued":{"date-parts":[["1971",10</vt:lpwstr>
  </property>
  <property fmtid="{D5CDD505-2E9C-101B-9397-08002B2CF9AE}" pid="7" name="ZOTERO_BREF_pbXDyedUGZax_4">
    <vt:lpwstr>,1]]},"accessed":{"date-parts":[["2015",2,19]]}}}],"schema":"https://github.com/citation-style-language/schema/raw/master/csl-citation.json"}</vt:lpwstr>
  </property>
  <property fmtid="{D5CDD505-2E9C-101B-9397-08002B2CF9AE}" pid="8" name="ZOTERO_BREF_kNb4eaFEpPRg_1">
    <vt:lpwstr>ZOTERO_ITEM CSL_CITATION {"citationID":"HIg3nqFy","properties":{"formattedCitation":"(Frenk et al. 1991; Omran 1971; Olshansky and Ault 1986)","plainCitation":"(Frenk et al. 1991; Omran 1971; Olshansky and Ault 1986)"},"citationItems":[{"id":11,"uris":["h</vt:lpwstr>
  </property>
  <property fmtid="{D5CDD505-2E9C-101B-9397-08002B2CF9AE}" pid="9" name="ZOTERO_BREF_kNb4eaFEpPRg_2">
    <vt:lpwstr>ttp://zotero.org/users/local/ZvnVvjeS/items/BDHF8JTB"],"uri":["http://zotero.org/users/local/ZvnVvjeS/items/BDHF8JTB"],"itemData":{"id":11,"type":"article-journal","title":"Elements for a theory of the health transition","container-title":"Health Transiti</vt:lpwstr>
  </property>
  <property fmtid="{D5CDD505-2E9C-101B-9397-08002B2CF9AE}" pid="10" name="ZOTERO_BREF_kNb4eaFEpPRg_3">
    <vt:lpwstr>on Review","page":"21-38","volume":"1","issue":"1","source":"JSTOR","abstract":"This article presents the basic elements for developing a theory of the health transition. Such elements include the definition of concepts, the specification of a framework o</vt:lpwstr>
  </property>
  <property fmtid="{D5CDD505-2E9C-101B-9397-08002B2CF9AE}" pid="11" name="ZOTERO_BREF_kNb4eaFEpPRg_4">
    <vt:lpwstr>n the determinants of health status, the analysis of the mechanisms through which health change occurs in populations, the characterization of the attributes that allow us to identify different transition models, and the enumeration of the possible conseq</vt:lpwstr>
  </property>
  <property fmtid="{D5CDD505-2E9C-101B-9397-08002B2CF9AE}" pid="12" name="ZOTERO_BREF_kNb4eaFEpPRg_5">
    <vt:lpwstr>uences of the transition. The propositions are presented with a sufficient level of generality as to make them applicable to different contexts; at the same time, an attempt is made to provide them with the necessary specificity to account for different n</vt:lpwstr>
  </property>
  <property fmtid="{D5CDD505-2E9C-101B-9397-08002B2CF9AE}" pid="13" name="ZOTERO_BREF_kNb4eaFEpPRg_6">
    <vt:lpwstr>ational experiences, thus opening a space for future comparative research efforts. Through the systematization exercise presented in this article, we hope to contribute to the progress of a topic that has grown in importance during recent years. Such impo</vt:lpwstr>
  </property>
  <property fmtid="{D5CDD505-2E9C-101B-9397-08002B2CF9AE}" pid="14" name="ZOTERO_BREF_kNb4eaFEpPRg_7">
    <vt:lpwstr>rtance is due to the enormous potential that health transition theory has for understanding and transforming the growing complexity of our times.","ISSN":"1036-4005","journalAbbreviation":"Health Transition Review","author":[{"family":"Frenk","given":"Jul</vt:lpwstr>
  </property>
  <property fmtid="{D5CDD505-2E9C-101B-9397-08002B2CF9AE}" pid="15" name="ZOTERO_BREF_kNb4eaFEpPRg_8">
    <vt:lpwstr>io"},{"family":"Bobadilla","given":"José Luis"},{"family":"Stern","given":"Claudio"},{"family":"Frejka","given":"Tomas"},{"family":"Lozano","given":"Rafael"}],"issued":{"date-parts":[["1991",4,1]]},"accessed":{"date-parts":[["2015",2,19]]}},"label":"page"</vt:lpwstr>
  </property>
  <property fmtid="{D5CDD505-2E9C-101B-9397-08002B2CF9AE}" pid="16" name="ZOTERO_BREF_kNb4eaFEpPRg_9">
    <vt:lpwstr>},{"id":6,"uris":["http://zotero.org/users/local/ZvnVvjeS/items/UH49DSBX"],"uri":["http://zotero.org/users/local/ZvnVvjeS/items/UH49DSBX"],"itemData":{"id":6,"type":"article-journal","title":"The Epidemiologic Transition: A Theory of the Epidemiology of P</vt:lpwstr>
  </property>
  <property fmtid="{D5CDD505-2E9C-101B-9397-08002B2CF9AE}" pid="17" name="ZOTERO_BREF_kNb4eaFEpPRg_10">
    <vt:lpwstr>opulation Change","container-title":"The Milbank Memorial Fund Quarterly","page":"509-538","volume":"49","issue":"4","source":"JSTOR","DOI":"10.2307/3349375","ISSN":"0026-3745","shortTitle":"The Epidemiologic Transition","journalAbbreviation":"The Milbank</vt:lpwstr>
  </property>
  <property fmtid="{D5CDD505-2E9C-101B-9397-08002B2CF9AE}" pid="18" name="ZOTERO_BREF_kNb4eaFEpPRg_11">
    <vt:lpwstr> Memorial Fund Quarterly","author":[{"family":"Omran","given":"Abdel R."}],"issued":{"date-parts":[["1971",10,1]]},"accessed":{"date-parts":[["2015",2,19]]}},"label":"page"},{"id":9,"uris":["http://zotero.org/users/local/ZvnVvjeS/items/3C4NVD2W"],"uri":["</vt:lpwstr>
  </property>
  <property fmtid="{D5CDD505-2E9C-101B-9397-08002B2CF9AE}" pid="19" name="ZOTERO_BREF_kNb4eaFEpPRg_12">
    <vt:lpwstr>http://zotero.org/users/local/ZvnVvjeS/items/3C4NVD2W"],"itemData":{"id":9,"type":"article-journal","title":"The Fourth Stage of the Epidemiologic Transition: The Age of Delayed Degenerative Diseases","container-title":"The Milbank Quarterly","page":"355-</vt:lpwstr>
  </property>
  <property fmtid="{D5CDD505-2E9C-101B-9397-08002B2CF9AE}" pid="20" name="ZOTERO_BREF_kNb4eaFEpPRg_13">
    <vt:lpwstr>391","volume":"64","issue":"3","source":"JSTOR","abstract":"Gains in longevity in the United States since the midnineteenth century occurred as a result of an epidemiologic transition: deaths from infectious diseases were replaced by deaths from degenerat</vt:lpwstr>
  </property>
  <property fmtid="{D5CDD505-2E9C-101B-9397-08002B2CF9AE}" pid="21" name="ZOTERO_BREF_kNb4eaFEpPRg_14">
    <vt:lpwstr>ive diseases. Recent trends in cause-specific mortality suggest a distinct new stage, one of postponement of degenerative diseases. Projections based on these data must be applied cautiously; their implication for health and social policies are likely to </vt:lpwstr>
  </property>
  <property fmtid="{D5CDD505-2E9C-101B-9397-08002B2CF9AE}" pid="22" name="ZOTERO_BREF_kNb4eaFEpPRg_15">
    <vt:lpwstr>be profound.","DOI":"10.2307/3350025","ISSN":"0887-378X","shortTitle":"The Fourth Stage of the Epidemiologic Transition","journalAbbreviation":"The Milbank Quarterly","author":[{"family":"Olshansky","given":"S. Jay"},{"family":"Ault","given":"A. Brian"}],</vt:lpwstr>
  </property>
  <property fmtid="{D5CDD505-2E9C-101B-9397-08002B2CF9AE}" pid="23" name="ZOTERO_BREF_kNb4eaFEpPRg_16">
    <vt:lpwstr>"issued":{"date-parts":[["1986",1,1]]},"accessed":{"date-parts":[["2015",2,19]]}},"label":"page"}],"schema":"https://github.com/citation-style-language/schema/raw/master/csl-citation.json"}</vt:lpwstr>
  </property>
  <property fmtid="{D5CDD505-2E9C-101B-9397-08002B2CF9AE}" pid="24" name="ZOTERO_BREF_jgRyQwIldpjA_1">
    <vt:lpwstr>ZOTERO_ITEM CSL_CITATION {"citationID":"6etp4rb26","properties":{"formattedCitation":"(Frenk et al. 1991; Omran 1971; Olshansky and Ault 1986)","plainCitation":"(Frenk et al. 1991; Omran 1971; Olshansky and Ault 1986)"},"citationItems":[{"id":11,"uris":["</vt:lpwstr>
  </property>
  <property fmtid="{D5CDD505-2E9C-101B-9397-08002B2CF9AE}" pid="25" name="ZOTERO_BREF_jgRyQwIldpjA_2">
    <vt:lpwstr>http://zotero.org/users/local/ZvnVvjeS/items/BDHF8JTB"],"uri":["http://zotero.org/users/local/ZvnVvjeS/items/BDHF8JTB"],"itemData":{"id":11,"type":"article-journal","title":"Elements for a theory of the health transition","container-title":"Health Transit</vt:lpwstr>
  </property>
  <property fmtid="{D5CDD505-2E9C-101B-9397-08002B2CF9AE}" pid="26" name="ZOTERO_BREF_jgRyQwIldpjA_3">
    <vt:lpwstr>ion Review","page":"21-38","volume":"1","issue":"1","source":"JSTOR","abstract":"This article presents the basic elements for developing a theory of the health transition. Such elements include the definition of concepts, the specification of a framework </vt:lpwstr>
  </property>
  <property fmtid="{D5CDD505-2E9C-101B-9397-08002B2CF9AE}" pid="27" name="ZOTERO_BREF_jgRyQwIldpjA_4">
    <vt:lpwstr>on the determinants of health status, the analysis of the mechanisms through which health change occurs in populations, the characterization of the attributes that allow us to identify different transition models, and the enumeration of the possible conse</vt:lpwstr>
  </property>
  <property fmtid="{D5CDD505-2E9C-101B-9397-08002B2CF9AE}" pid="28" name="ZOTERO_BREF_jgRyQwIldpjA_5">
    <vt:lpwstr>quences of the transition. The propositions are presented with a sufficient level of generality as to make them applicable to different contexts; at the same time, an attempt is made to provide them with the necessary specificity to account for different </vt:lpwstr>
  </property>
  <property fmtid="{D5CDD505-2E9C-101B-9397-08002B2CF9AE}" pid="29" name="ZOTERO_BREF_jgRyQwIldpjA_6">
    <vt:lpwstr>national experiences, thus opening a space for future comparative research efforts. Through the systematization exercise presented in this article, we hope to contribute to the progress of a topic that has grown in importance during recent years. Such imp</vt:lpwstr>
  </property>
  <property fmtid="{D5CDD505-2E9C-101B-9397-08002B2CF9AE}" pid="30" name="ZOTERO_BREF_jgRyQwIldpjA_7">
    <vt:lpwstr>ortance is due to the enormous potential that health transition theory has for understanding and transforming the growing complexity of our times.","ISSN":"1036-4005","journalAbbreviation":"Health Transition Review","author":[{"family":"Frenk","given":"Ju</vt:lpwstr>
  </property>
  <property fmtid="{D5CDD505-2E9C-101B-9397-08002B2CF9AE}" pid="31" name="ZOTERO_BREF_jgRyQwIldpjA_8">
    <vt:lpwstr>lio"},{"family":"Bobadilla","given":"José Luis"},{"family":"Stern","given":"Claudio"},{"family":"Frejka","given":"Tomas"},{"family":"Lozano","given":"Rafael"}],"issued":{"date-parts":[["1991",4,1]]},"accessed":{"date-parts":[["2015",2,19]]}},"label":"page</vt:lpwstr>
  </property>
  <property fmtid="{D5CDD505-2E9C-101B-9397-08002B2CF9AE}" pid="32" name="ZOTERO_BREF_jgRyQwIldpjA_9">
    <vt:lpwstr>"},{"id":6,"uris":["http://zotero.org/users/local/ZvnVvjeS/items/UH49DSBX"],"uri":["http://zotero.org/users/local/ZvnVvjeS/items/UH49DSBX"],"itemData":{"id":6,"type":"article-journal","title":"The Epidemiologic Transition: A Theory of the Epidemiology of </vt:lpwstr>
  </property>
  <property fmtid="{D5CDD505-2E9C-101B-9397-08002B2CF9AE}" pid="33" name="ZOTERO_BREF_jgRyQwIldpjA_10">
    <vt:lpwstr>Population Change","container-title":"The Milbank Memorial Fund Quarterly","page":"509-538","volume":"49","issue":"4","source":"JSTOR","DOI":"10.2307/3349375","ISSN":"0026-3745","shortTitle":"The Epidemiologic Transition","journalAbbreviation":"The Milban</vt:lpwstr>
  </property>
  <property fmtid="{D5CDD505-2E9C-101B-9397-08002B2CF9AE}" pid="34" name="ZOTERO_BREF_jgRyQwIldpjA_11">
    <vt:lpwstr>k Memorial Fund Quarterly","author":[{"family":"Omran","given":"Abdel R."}],"issued":{"date-parts":[["1971",10,1]]},"accessed":{"date-parts":[["2015",2,19]]}},"label":"page"},{"id":9,"uris":["http://zotero.org/users/local/ZvnVvjeS/items/3C4NVD2W"],"uri":[</vt:lpwstr>
  </property>
  <property fmtid="{D5CDD505-2E9C-101B-9397-08002B2CF9AE}" pid="35" name="ZOTERO_BREF_jgRyQwIldpjA_12">
    <vt:lpwstr>"http://zotero.org/users/local/ZvnVvjeS/items/3C4NVD2W"],"itemData":{"id":9,"type":"article-journal","title":"The Fourth Stage of the Epidemiologic Transition: The Age of Delayed Degenerative Diseases","container-title":"The Milbank Quarterly","page":"355</vt:lpwstr>
  </property>
  <property fmtid="{D5CDD505-2E9C-101B-9397-08002B2CF9AE}" pid="36" name="ZOTERO_BREF_jgRyQwIldpjA_13">
    <vt:lpwstr>-391","volume":"64","issue":"3","source":"JSTOR","abstract":"Gains in longevity in the United States since the midnineteenth century occurred as a result of an epidemiologic transition: deaths from infectious diseases were replaced by deaths from degenera</vt:lpwstr>
  </property>
  <property fmtid="{D5CDD505-2E9C-101B-9397-08002B2CF9AE}" pid="37" name="ZOTERO_BREF_jgRyQwIldpjA_14">
    <vt:lpwstr>tive diseases. Recent trends in cause-specific mortality suggest a distinct new stage, one of postponement of degenerative diseases. Projections based on these data must be applied cautiously; their implication for health and social policies are likely to</vt:lpwstr>
  </property>
  <property fmtid="{D5CDD505-2E9C-101B-9397-08002B2CF9AE}" pid="38" name="ZOTERO_BREF_jgRyQwIldpjA_15">
    <vt:lpwstr> be profound.","DOI":"10.2307/3350025","ISSN":"0887-378X","shortTitle":"The Fourth Stage of the Epidemiologic Transition","journalAbbreviation":"The Milbank Quarterly","author":[{"family":"Olshansky","given":"S. Jay"},{"family":"Ault","given":"A. Brian"}]</vt:lpwstr>
  </property>
  <property fmtid="{D5CDD505-2E9C-101B-9397-08002B2CF9AE}" pid="39" name="ZOTERO_BREF_jgRyQwIldpjA_16">
    <vt:lpwstr>,"issued":{"date-parts":[["1986",1,1]]},"accessed":{"date-parts":[["2015",2,19]]}},"label":"section"}],"schema":"https://github.com/citation-style-language/schema/raw/master/csl-citation.json"}</vt:lpwstr>
  </property>
  <property fmtid="{D5CDD505-2E9C-101B-9397-08002B2CF9AE}" pid="40" name="ZOTERO_BREF_FtRan2MeRGTn_1">
    <vt:lpwstr>ZOTERO_BIBL {"custom":[]} CSL_BIBLIOGRAPHY</vt:lpwstr>
  </property>
  <property fmtid="{D5CDD505-2E9C-101B-9397-08002B2CF9AE}" pid="41" name="ZOTERO_BREF_Rz4KcAJJ5hBN_1">
    <vt:lpwstr>ZOTERO_ITEM CSL_CITATION {"citationID":"eZJmyOLi","properties":{"formattedCitation":"(Omran 1971)","plainCitation":"(Omran 1971)"},"citationItems":[{"id":6,"uris":["http://zotero.org/users/local/ZvnVvjeS/items/UH49DSBX"],"uri":["http://zotero.org/users/lo</vt:lpwstr>
  </property>
  <property fmtid="{D5CDD505-2E9C-101B-9397-08002B2CF9AE}" pid="42" name="ZOTERO_BREF_Rz4KcAJJ5hBN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43" name="ZOTERO_BREF_Rz4KcAJJ5hBN_3">
    <vt:lpwstr>ue":"4","source":"JSTOR","DOI":"10.2307/3349375","ISSN":"0026-3745","shortTitle":"The Epidemiologic Transition","journalAbbreviation":"The Milbank Memorial Fund Quarterly","author":[{"family":"Omran","given":"Abdel R."}],"issued":{"date-parts":[["1971",10</vt:lpwstr>
  </property>
  <property fmtid="{D5CDD505-2E9C-101B-9397-08002B2CF9AE}" pid="44" name="ZOTERO_BREF_Rz4KcAJJ5hBN_4">
    <vt:lpwstr>,1]]},"accessed":{"date-parts":[["2015",2,19]]}}}],"schema":"https://github.com/citation-style-language/schema/raw/master/csl-citation.json"}</vt:lpwstr>
  </property>
  <property fmtid="{D5CDD505-2E9C-101B-9397-08002B2CF9AE}" pid="45" name="ZOTERO_BREF_X3TXN3r1d6Eo_1">
    <vt:lpwstr>ZOTERO_ITEM CSL_CITATION {"citationID":"VVuoY4Se","properties":{"formattedCitation":"(Frenk et al. 1991)","plainCitation":"(Frenk et al. 1991)"},"citationItems":[{"id":11,"uris":["http://zotero.org/users/local/ZvnVvjeS/items/BDHF8JTB"],"uri":["http://zote</vt:lpwstr>
  </property>
  <property fmtid="{D5CDD505-2E9C-101B-9397-08002B2CF9AE}" pid="46" name="ZOTERO_BREF_X3TXN3r1d6Eo_2">
    <vt:lpwstr>ro.org/users/local/ZvnVvjeS/items/BDHF8JTB"],"itemData":{"id":11,"type":"article-journal","title":"Elements for a theory of the health transition","container-title":"Health Transition Review","page":"21-38","volume":"1","issue":"1","source":"JSTOR","abstr</vt:lpwstr>
  </property>
  <property fmtid="{D5CDD505-2E9C-101B-9397-08002B2CF9AE}" pid="47" name="ZOTERO_BREF_X3TXN3r1d6Eo_3">
    <vt:lpwstr>act":"This article presents the basic elements for developing a theory of the health transition. Such elements include the definition of concepts, the specification of a framework on the determinants of health status, the analysis of the mechanisms throug</vt:lpwstr>
  </property>
  <property fmtid="{D5CDD505-2E9C-101B-9397-08002B2CF9AE}" pid="48" name="ZOTERO_BREF_X3TXN3r1d6Eo_4">
    <vt:lpwstr>h which health change occurs in populations, the characterization of the attributes that allow us to identify different transition models, and the enumeration of the possible consequences of the transition. The propositions are presented with a sufficient</vt:lpwstr>
  </property>
  <property fmtid="{D5CDD505-2E9C-101B-9397-08002B2CF9AE}" pid="49" name="ZOTERO_BREF_X3TXN3r1d6Eo_5">
    <vt:lpwstr> level of generality as to make them applicable to different contexts; at the same time, an attempt is made to provide them with the necessary specificity to account for different national experiences, thus opening a space for future comparative research </vt:lpwstr>
  </property>
  <property fmtid="{D5CDD505-2E9C-101B-9397-08002B2CF9AE}" pid="50" name="ZOTERO_BREF_X3TXN3r1d6Eo_6">
    <vt:lpwstr>efforts. Through the systematization exercise presented in this article, we hope to contribute to the progress of a topic that has grown in importance during recent years. Such importance is due to the enormous potential that health transition theory has </vt:lpwstr>
  </property>
  <property fmtid="{D5CDD505-2E9C-101B-9397-08002B2CF9AE}" pid="51" name="ZOTERO_BREF_X3TXN3r1d6Eo_7">
    <vt:lpwstr>for understanding and transforming the growing complexity of our times.","ISSN":"1036-4005","journalAbbreviation":"Health Transition Review","author":[{"family":"Frenk","given":"Julio"},{"family":"Bobadilla","given":"José Luis"},{"family":"Stern","given":</vt:lpwstr>
  </property>
  <property fmtid="{D5CDD505-2E9C-101B-9397-08002B2CF9AE}" pid="52" name="ZOTERO_BREF_X3TXN3r1d6Eo_8">
    <vt:lpwstr>"Claudio"},{"family":"Frejka","given":"Tomas"},{"family":"Lozano","given":"Rafael"}],"issued":{"date-parts":[["1991",4,1]]},"accessed":{"date-parts":[["2015",2,19]]}}}],"schema":"https://github.com/citation-style-language/schema/raw/master/csl-citation.js</vt:lpwstr>
  </property>
  <property fmtid="{D5CDD505-2E9C-101B-9397-08002B2CF9AE}" pid="53" name="ZOTERO_BREF_X3TXN3r1d6Eo_9">
    <vt:lpwstr>on"}</vt:lpwstr>
  </property>
  <property fmtid="{D5CDD505-2E9C-101B-9397-08002B2CF9AE}" pid="54" name="ZOTERO_BREF_zTrtOwZJkOP9_1">
    <vt:lpwstr>ZOTERO_BIBL {"custom":[]} CSL_BIBLIOGRAPHY</vt:lpwstr>
  </property>
  <property fmtid="{D5CDD505-2E9C-101B-9397-08002B2CF9AE}" pid="55" name="ZOTERO_BREF_Q2xYQVWBeM2e_1">
    <vt:lpwstr>ZOTERO_ITEM CSL_CITATION {"citationID":"eZJmyOLi","properties":{"formattedCitation":"(Omran 1971)","plainCitation":"(Omran 1971)"},"citationItems":[{"id":6,"uris":["http://zotero.org/users/local/ZvnVvjeS/items/UH49DSBX"],"uri":["http://zotero.org/users/lo</vt:lpwstr>
  </property>
  <property fmtid="{D5CDD505-2E9C-101B-9397-08002B2CF9AE}" pid="56" name="ZOTERO_BREF_Q2xYQVWBeM2e_2">
    <vt:lpwstr>cal/ZvnVvjeS/items/UH49DSBX"],"itemData":{"id":6,"type":"article-journal","title":"The Epidemiologic Transition: A Theory of the Epidemiology of Population Change","container-title":"The Milbank Memorial Fund Quarterly","page":"509-538","volume":"49","iss</vt:lpwstr>
  </property>
  <property fmtid="{D5CDD505-2E9C-101B-9397-08002B2CF9AE}" pid="57" name="ZOTERO_BREF_Q2xYQVWBeM2e_3">
    <vt:lpwstr>ue":"4","source":"JSTOR","DOI":"10.2307/3349375","ISSN":"0026-3745","shortTitle":"The Epidemiologic Transition","journalAbbreviation":"The Milbank Memorial Fund Quarterly","author":[{"family":"Omran","given":"Abdel R."}],"issued":{"date-parts":[["1971",10</vt:lpwstr>
  </property>
  <property fmtid="{D5CDD505-2E9C-101B-9397-08002B2CF9AE}" pid="58" name="ZOTERO_BREF_Q2xYQVWBeM2e_4">
    <vt:lpwstr>,1]]},"accessed":{"date-parts":[["2015",2,19]]}}}],"schema":"https://github.com/citation-style-language/schema/raw/master/csl-citation.json"}</vt:lpwstr>
  </property>
  <property fmtid="{D5CDD505-2E9C-101B-9397-08002B2CF9AE}" pid="59" name="ZOTERO_BREF_YwW0G2VSdbTY_1">
    <vt:lpwstr>ZOTERO_ITEM CSL_CITATION {"citationID":"VVuoY4Se","properties":{"formattedCitation":"(Frenk et al. 1991)","plainCitation":"(Frenk et al. 1991)"},"citationItems":[{"id":11,"uris":["http://zotero.org/users/local/ZvnVvjeS/items/BDHF8JTB"],"uri":["http://zote</vt:lpwstr>
  </property>
  <property fmtid="{D5CDD505-2E9C-101B-9397-08002B2CF9AE}" pid="60" name="ZOTERO_BREF_YwW0G2VSdbTY_2">
    <vt:lpwstr>ro.org/users/local/ZvnVvjeS/items/BDHF8JTB"],"itemData":{"id":11,"type":"article-journal","title":"Elements for a theory of the health transition","container-title":"Health Transition Review","page":"21-38","volume":"1","issue":"1","source":"JSTOR","abstr</vt:lpwstr>
  </property>
  <property fmtid="{D5CDD505-2E9C-101B-9397-08002B2CF9AE}" pid="61" name="ZOTERO_BREF_YwW0G2VSdbTY_3">
    <vt:lpwstr>act":"This article presents the basic elements for developing a theory of the health transition. Such elements include the definition of concepts, the specification of a framework on the determinants of health status, the analysis of the mechanisms throug</vt:lpwstr>
  </property>
  <property fmtid="{D5CDD505-2E9C-101B-9397-08002B2CF9AE}" pid="62" name="ZOTERO_BREF_YwW0G2VSdbTY_4">
    <vt:lpwstr>h which health change occurs in populations, the characterization of the attributes that allow us to identify different transition models, and the enumeration of the possible consequences of the transition. The propositions are presented with a sufficient</vt:lpwstr>
  </property>
  <property fmtid="{D5CDD505-2E9C-101B-9397-08002B2CF9AE}" pid="63" name="ZOTERO_BREF_YwW0G2VSdbTY_5">
    <vt:lpwstr> level of generality as to make them applicable to different contexts; at the same time, an attempt is made to provide them with the necessary specificity to account for different national experiences, thus opening a space for future comparative research </vt:lpwstr>
  </property>
  <property fmtid="{D5CDD505-2E9C-101B-9397-08002B2CF9AE}" pid="64" name="ZOTERO_BREF_YwW0G2VSdbTY_6">
    <vt:lpwstr>efforts. Through the systematization exercise presented in this article, we hope to contribute to the progress of a topic that has grown in importance during recent years. Such importance is due to the enormous potential that health transition theory has </vt:lpwstr>
  </property>
  <property fmtid="{D5CDD505-2E9C-101B-9397-08002B2CF9AE}" pid="65" name="ZOTERO_BREF_YwW0G2VSdbTY_7">
    <vt:lpwstr>for understanding and transforming the growing complexity of our times.","ISSN":"1036-4005","journalAbbreviation":"Health Transition Review","author":[{"family":"Frenk","given":"Julio"},{"family":"Bobadilla","given":"José Luis"},{"family":"Stern","given":</vt:lpwstr>
  </property>
  <property fmtid="{D5CDD505-2E9C-101B-9397-08002B2CF9AE}" pid="66" name="ZOTERO_BREF_YwW0G2VSdbTY_8">
    <vt:lpwstr>"Claudio"},{"family":"Frejka","given":"Tomas"},{"family":"Lozano","given":"Rafael"}],"issued":{"date-parts":[["1991",4,1]]},"accessed":{"date-parts":[["2015",2,19]]}}}],"schema":"https://github.com/citation-style-language/schema/raw/master/csl-citation.js</vt:lpwstr>
  </property>
  <property fmtid="{D5CDD505-2E9C-101B-9397-08002B2CF9AE}" pid="67" name="ZOTERO_BREF_YwW0G2VSdbTY_9">
    <vt:lpwstr>on"}</vt:lpwstr>
  </property>
  <property fmtid="{D5CDD505-2E9C-101B-9397-08002B2CF9AE}" pid="68" name="ZOTERO_BREF_X5OHyuXEieup_1">
    <vt:lpwstr>ZOTERO_BIBL {"custom":[]} CSL_BIBLIOGRAPHY</vt:lpwstr>
  </property>
  <property fmtid="{D5CDD505-2E9C-101B-9397-08002B2CF9AE}" pid="69" name="ZOTERO_BREF_3Dr1GLAjOqcH_1">
    <vt:lpwstr>ZOTERO_ITEM {"citationID":"eZJmyOLi","properties":{"formattedCitation":"(Omran, 1971)","plainCitation":"(Omran, 1971)"},"citationItems":[{"id":6,"uris":["http://zotero.org/users/local/ZvnVvjeS/items/UH49DSBX"],"uri":["http://zotero.org/users/local/ZvnVvje</vt:lpwstr>
  </property>
  <property fmtid="{D5CDD505-2E9C-101B-9397-08002B2CF9AE}" pid="70" name="ZOTERO_BREF_3Dr1GLAjOqcH_2">
    <vt:lpwstr>S/items/UH49DSBX"]}]}</vt:lpwstr>
  </property>
  <property fmtid="{D5CDD505-2E9C-101B-9397-08002B2CF9AE}" pid="71" name="ZOTERO_BREF_x7aiOyjqzm6k_1">
    <vt:lpwstr>ZOTERO_ITEM {"citationID":"BMRSt8db","properties":{"formattedCitation":"(Frenk, Bobadilla, Stern, Frejka, &amp; Lozano, 1991)","plainCitation":"(Frenk, Bobadilla, Stern, Frejka, &amp; Lozano, 1991)"},"citationItems":[{"id":11,"uris":["http://zotero.org/users/loca</vt:lpwstr>
  </property>
  <property fmtid="{D5CDD505-2E9C-101B-9397-08002B2CF9AE}" pid="72" name="ZOTERO_BREF_x7aiOyjqzm6k_2">
    <vt:lpwstr>l/ZvnVvjeS/items/BDHF8JTB"],"uri":["http://zotero.org/users/local/ZvnVvjeS/items/BDHF8JTB"]}]}</vt:lpwstr>
  </property>
  <property fmtid="{D5CDD505-2E9C-101B-9397-08002B2CF9AE}" pid="73" name="ZOTERO_BREF_s47zeC5T1Iua_1">
    <vt:lpwstr>ZOTERO_BIBL {"custom":[]}</vt:lpwstr>
  </property>
</Properties>
</file>