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39E1" w:rsidRDefault="00C439E1">
      <w:pPr>
        <w:spacing w:before="1200"/>
      </w:pPr>
    </w:p>
    <w:p w:rsidR="00C439E1" w:rsidRDefault="00000000" w:rsidP="002E443B">
      <w:pPr>
        <w:spacing w:line="360" w:lineRule="auto"/>
        <w:jc w:val="center"/>
      </w:pPr>
      <w:r>
        <w:rPr>
          <w:b/>
          <w:bCs/>
          <w:color w:val="1F3864"/>
          <w:sz w:val="44"/>
          <w:szCs w:val="44"/>
        </w:rPr>
        <w:t>INFORME DE ANÁLISIS DE DATOS</w:t>
      </w:r>
    </w:p>
    <w:p w:rsidR="00C439E1" w:rsidRDefault="00000000" w:rsidP="002E443B">
      <w:pPr>
        <w:spacing w:before="200" w:after="100" w:line="360" w:lineRule="auto"/>
        <w:jc w:val="center"/>
      </w:pPr>
      <w:r>
        <w:rPr>
          <w:color w:val="2E74B5"/>
          <w:sz w:val="32"/>
          <w:szCs w:val="32"/>
        </w:rPr>
        <w:t xml:space="preserve">Ventas Globales — </w:t>
      </w:r>
      <w:proofErr w:type="spellStart"/>
      <w:r>
        <w:rPr>
          <w:color w:val="2E74B5"/>
          <w:sz w:val="32"/>
          <w:szCs w:val="32"/>
        </w:rPr>
        <w:t>Superstore</w:t>
      </w:r>
      <w:proofErr w:type="spellEnd"/>
      <w:r>
        <w:rPr>
          <w:color w:val="2E74B5"/>
          <w:sz w:val="32"/>
          <w:szCs w:val="32"/>
        </w:rPr>
        <w:t xml:space="preserve"> </w:t>
      </w:r>
      <w:proofErr w:type="spellStart"/>
      <w:r>
        <w:rPr>
          <w:color w:val="2E74B5"/>
          <w:sz w:val="32"/>
          <w:szCs w:val="32"/>
        </w:rPr>
        <w:t>Dataset</w:t>
      </w:r>
      <w:proofErr w:type="spellEnd"/>
    </w:p>
    <w:p w:rsidR="00C439E1" w:rsidRDefault="00000000" w:rsidP="002E443B">
      <w:pPr>
        <w:spacing w:before="600" w:line="360" w:lineRule="auto"/>
        <w:jc w:val="center"/>
      </w:pPr>
      <w:r>
        <w:rPr>
          <w:sz w:val="24"/>
          <w:szCs w:val="24"/>
        </w:rPr>
        <w:t>Preparado por: Gabriela Merlo Santander</w:t>
      </w:r>
    </w:p>
    <w:p w:rsidR="00C439E1" w:rsidRDefault="00000000" w:rsidP="002E443B">
      <w:pPr>
        <w:spacing w:before="100" w:line="360" w:lineRule="auto"/>
        <w:jc w:val="center"/>
      </w:pPr>
      <w:r>
        <w:rPr>
          <w:i/>
          <w:iCs/>
          <w:color w:val="595959"/>
          <w:sz w:val="22"/>
          <w:szCs w:val="22"/>
        </w:rPr>
        <w:t>Análisis exploratorio de datos — Proyecto de portafolio</w:t>
      </w:r>
    </w:p>
    <w:p w:rsidR="00C439E1" w:rsidRDefault="00000000" w:rsidP="002E443B">
      <w:pPr>
        <w:spacing w:line="360" w:lineRule="auto"/>
        <w:jc w:val="center"/>
      </w:pPr>
      <w:r>
        <w:br w:type="page"/>
      </w:r>
    </w:p>
    <w:p w:rsidR="00C439E1" w:rsidRDefault="00000000" w:rsidP="002E443B">
      <w:pPr>
        <w:pStyle w:val="Ttulo1"/>
        <w:spacing w:before="400" w:after="200" w:line="360" w:lineRule="auto"/>
        <w:jc w:val="both"/>
      </w:pPr>
      <w:r>
        <w:rPr>
          <w:b/>
          <w:bCs/>
          <w:color w:val="1F3864"/>
        </w:rPr>
        <w:lastRenderedPageBreak/>
        <w:t>1. Resumen Ejecutivo</w:t>
      </w:r>
    </w:p>
    <w:p w:rsidR="00C439E1" w:rsidRDefault="00000000" w:rsidP="002E443B">
      <w:pPr>
        <w:spacing w:after="160" w:line="360" w:lineRule="auto"/>
        <w:jc w:val="both"/>
      </w:pPr>
      <w:r>
        <w:t xml:space="preserve">Este informe presenta un análisis exploratorio de datos de ventas de un hipermercado global (Global </w:t>
      </w:r>
      <w:proofErr w:type="spellStart"/>
      <w:r>
        <w:t>Superstore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), con el objetivo de identificar patrones de ventas, rentabilidad por región, comportamiento por segmento de cliente y tendencias temporales que puedan apoyar decisiones de negocio.</w:t>
      </w:r>
    </w:p>
    <w:p w:rsidR="00C439E1" w:rsidRDefault="00000000" w:rsidP="002E443B">
      <w:pPr>
        <w:spacing w:after="160" w:line="360" w:lineRule="auto"/>
        <w:jc w:val="both"/>
      </w:pPr>
      <w:r>
        <w:t>El análisis abarca 51,290 registros de transacciones distribuidas en 27 variables, incluyendo categoría de producto, región, fecha de pedido, ventas, ganancia, descuento y segmento de cliente.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Principales hallazgos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t>Technology</w:t>
      </w:r>
      <w:proofErr w:type="spellEnd"/>
      <w:r>
        <w:t xml:space="preserve"> es la categoría con mayores ventas totales, seguida de </w:t>
      </w:r>
      <w:proofErr w:type="spellStart"/>
      <w:r>
        <w:t>Furniture</w:t>
      </w:r>
      <w:proofErr w:type="spellEnd"/>
      <w:r>
        <w:t xml:space="preserve"> y Office </w:t>
      </w:r>
      <w:proofErr w:type="spellStart"/>
      <w:r>
        <w:t>Supplies</w:t>
      </w:r>
      <w:proofErr w:type="spellEnd"/>
      <w:r>
        <w:t>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La región Central concentra la mayor ganancia total, muy por encima del resto de las regiones.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t>Phones</w:t>
      </w:r>
      <w:proofErr w:type="spellEnd"/>
      <w:r>
        <w:t xml:space="preserve"> y </w:t>
      </w:r>
      <w:proofErr w:type="spellStart"/>
      <w:r>
        <w:t>Copiers</w:t>
      </w:r>
      <w:proofErr w:type="spellEnd"/>
      <w:r>
        <w:t xml:space="preserve"> son las subcategorías individuales con mayor volumen de ventas.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El segmento </w:t>
      </w:r>
      <w:proofErr w:type="spellStart"/>
      <w:r>
        <w:t>Consumer</w:t>
      </w:r>
      <w:proofErr w:type="spellEnd"/>
      <w:r>
        <w:t xml:space="preserve"> representa la mayor parte de las ventas totales, por encima de </w:t>
      </w:r>
      <w:proofErr w:type="spellStart"/>
      <w:r>
        <w:t>Corporate</w:t>
      </w:r>
      <w:proofErr w:type="spellEnd"/>
      <w:r>
        <w:t xml:space="preserve"> y Home Office.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Las ventas de la categoría </w:t>
      </w:r>
      <w:proofErr w:type="spellStart"/>
      <w:r>
        <w:t>Technology</w:t>
      </w:r>
      <w:proofErr w:type="spellEnd"/>
      <w:r>
        <w:t xml:space="preserve"> muestran una tendencia de crecimiento sostenido, con un incremento promedio estimado de $261,036 por año.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La proyección a futuro (modelo </w:t>
      </w:r>
      <w:proofErr w:type="spellStart"/>
      <w:r>
        <w:t>Prophet</w:t>
      </w:r>
      <w:proofErr w:type="spellEnd"/>
      <w:r>
        <w:t>) mantiene la tendencia creciente para los próximos 3 años.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A partir de un descuento del 30%, la ganancia promedio se vuelve negativa, alcanzando su punto más bajo (aprox. -$1,500) con un descuento del 85%.</w:t>
      </w:r>
    </w:p>
    <w:p w:rsidR="00C439E1" w:rsidRDefault="00000000" w:rsidP="002E443B">
      <w:pPr>
        <w:pStyle w:val="Ttulo1"/>
        <w:spacing w:before="400" w:after="200" w:line="360" w:lineRule="auto"/>
        <w:jc w:val="both"/>
      </w:pPr>
      <w:r>
        <w:rPr>
          <w:b/>
          <w:bCs/>
          <w:color w:val="1F3864"/>
        </w:rPr>
        <w:t>2. Metodología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2.1 Fuente de datos</w:t>
      </w:r>
    </w:p>
    <w:p w:rsidR="00C439E1" w:rsidRDefault="00000000" w:rsidP="002E443B">
      <w:pPr>
        <w:spacing w:after="160" w:line="360" w:lineRule="auto"/>
        <w:jc w:val="both"/>
      </w:pPr>
      <w:r>
        <w:t xml:space="preserve">Global </w:t>
      </w:r>
      <w:proofErr w:type="spellStart"/>
      <w:r>
        <w:t>Superstore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obtenido de </w:t>
      </w:r>
      <w:proofErr w:type="spellStart"/>
      <w:r>
        <w:t>Kaggle</w:t>
      </w:r>
      <w:proofErr w:type="spellEnd"/>
      <w:r>
        <w:t>. Contiene registros de ventas de un hipermercado con alcance global, incluyendo información de productos, clientes, ubicación geográfica y resultados financieros por transacción.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2.2 Herramientas utilizadas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Python 3.14 — lenguaje de programación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Pandas — limpieza, exploración y manipulación de datos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t>Matplotlib</w:t>
      </w:r>
      <w:proofErr w:type="spellEnd"/>
      <w:r>
        <w:t xml:space="preserve"> — visualización de datos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t>Plotly</w:t>
      </w:r>
      <w:proofErr w:type="spellEnd"/>
      <w:r>
        <w:t xml:space="preserve"> — visualización interactiva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t>NumPy</w:t>
      </w:r>
      <w:proofErr w:type="spellEnd"/>
      <w:r>
        <w:t xml:space="preserve"> — cálculo de línea de tendencia (regresión lineal)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proofErr w:type="spellStart"/>
      <w:r>
        <w:lastRenderedPageBreak/>
        <w:t>Prophet</w:t>
      </w:r>
      <w:proofErr w:type="spellEnd"/>
      <w:r>
        <w:t xml:space="preserve"> — modelo de proyección de series de tiempo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2.3 Proceso</w:t>
      </w:r>
    </w:p>
    <w:p w:rsidR="00C439E1" w:rsidRDefault="00000000" w:rsidP="002E443B">
      <w:pPr>
        <w:spacing w:after="160" w:line="360" w:lineRule="auto"/>
        <w:jc w:val="both"/>
      </w:pPr>
      <w:r>
        <w:t xml:space="preserve">Se realizó una exploración inicial de la estructura del </w:t>
      </w:r>
      <w:proofErr w:type="spellStart"/>
      <w:r>
        <w:t>dataset</w:t>
      </w:r>
      <w:proofErr w:type="spellEnd"/>
      <w:r>
        <w:t xml:space="preserve"> (dimensiones, tipos de datos, valores nulos), seguida de un análisis agrupado por categoría, región, subcategoría y segmento de cliente. Posteriormente se analizó la evolución anual de ventas de la categoría líder, incorporando una línea de tendencia, una media móvil y una proyección a futuro.</w:t>
      </w:r>
    </w:p>
    <w:p w:rsidR="00C439E1" w:rsidRDefault="00000000" w:rsidP="002E443B">
      <w:pPr>
        <w:spacing w:after="160" w:line="360" w:lineRule="auto"/>
        <w:jc w:val="both"/>
      </w:pPr>
      <w:r>
        <w:t>Nota metodológica: la columna original de fecha de pedido ("</w:t>
      </w:r>
      <w:proofErr w:type="spellStart"/>
      <w:r>
        <w:t>Order</w:t>
      </w:r>
      <w:proofErr w:type="spellEnd"/>
      <w:r>
        <w:t xml:space="preserve"> Date") presentó una inconsistencia en el archivo fuente descargado, por lo que el análisis temporal se realizó utilizando la columna "</w:t>
      </w:r>
      <w:proofErr w:type="spellStart"/>
      <w:r>
        <w:t>Year</w:t>
      </w:r>
      <w:proofErr w:type="spellEnd"/>
      <w:r>
        <w:t>", la cual se verificó como consistente y confiable.</w:t>
      </w:r>
    </w:p>
    <w:p w:rsidR="00C439E1" w:rsidRDefault="00000000" w:rsidP="002E443B">
      <w:pPr>
        <w:pStyle w:val="Ttulo1"/>
        <w:spacing w:before="400" w:after="200" w:line="360" w:lineRule="auto"/>
        <w:jc w:val="both"/>
      </w:pPr>
      <w:r>
        <w:rPr>
          <w:b/>
          <w:bCs/>
          <w:color w:val="1F3864"/>
        </w:rPr>
        <w:t>3. Hallazgos Detallados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3.1 Ventas por categoría de producto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4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Ventas totales ($)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Technology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4,744,691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Furniture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4,110,884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 xml:space="preserve">Office </w:t>
            </w:r>
            <w:proofErr w:type="spellStart"/>
            <w:r>
              <w:rPr>
                <w:color w:val="000000"/>
              </w:rPr>
              <w:t>Supplies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3,787,330</w:t>
            </w:r>
          </w:p>
        </w:tc>
      </w:tr>
    </w:tbl>
    <w:p w:rsidR="00C439E1" w:rsidRDefault="00000000" w:rsidP="002E443B">
      <w:pPr>
        <w:spacing w:after="160" w:line="360" w:lineRule="auto"/>
        <w:jc w:val="both"/>
      </w:pPr>
      <w:proofErr w:type="spellStart"/>
      <w:r>
        <w:t>Technology</w:t>
      </w:r>
      <w:proofErr w:type="spellEnd"/>
      <w:r>
        <w:t xml:space="preserve"> lidera las ventas totales, seguida de cerca por </w:t>
      </w:r>
      <w:proofErr w:type="spellStart"/>
      <w:r>
        <w:t>Furniture</w:t>
      </w:r>
      <w:proofErr w:type="spellEnd"/>
      <w:r>
        <w:t xml:space="preserve">. Office </w:t>
      </w:r>
      <w:proofErr w:type="spellStart"/>
      <w:r>
        <w:t>Supplies</w:t>
      </w:r>
      <w:proofErr w:type="spellEnd"/>
      <w:r>
        <w:t>, si bien genera menor venta total, suele caracterizarse por mayor frecuencia de compra y menor valor por transacción.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3.2 Ganancia por región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Región</w:t>
            </w:r>
          </w:p>
        </w:tc>
        <w:tc>
          <w:tcPr>
            <w:tcW w:w="4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Ganancia total ($)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Central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311,403.98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North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194,597.95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North Asia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165,578.42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South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140,355.77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Central Asia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132,480.19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Oceania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120,089.11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West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108,418.45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East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91,522.78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Africa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88,871.63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EMEA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43,897.97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Caribbean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34,571.32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lastRenderedPageBreak/>
              <w:t>Southeast</w:t>
            </w:r>
            <w:proofErr w:type="spellEnd"/>
            <w:r>
              <w:rPr>
                <w:color w:val="000000"/>
              </w:rPr>
              <w:t xml:space="preserve"> Asia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17,852.33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Canada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17,817.39</w:t>
            </w:r>
          </w:p>
        </w:tc>
      </w:tr>
    </w:tbl>
    <w:p w:rsidR="00C439E1" w:rsidRDefault="00000000" w:rsidP="002E443B">
      <w:pPr>
        <w:spacing w:after="160" w:line="360" w:lineRule="auto"/>
        <w:jc w:val="both"/>
      </w:pPr>
      <w:r>
        <w:t xml:space="preserve">La región Central genera casi el doble de ganancia que la siguiente región (North), lo que la posiciona como la zona más rentable del negocio. En contraste, Canadá y </w:t>
      </w:r>
      <w:proofErr w:type="spellStart"/>
      <w:r>
        <w:t>Southeast</w:t>
      </w:r>
      <w:proofErr w:type="spellEnd"/>
      <w:r>
        <w:t xml:space="preserve"> Asia muestran una rentabilidad considerablemente menor, lo que amerita una revisión de las condiciones comerciales en dichas zonas.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3.3 Top 5 subcategorías por ventas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Subcategoría</w:t>
            </w:r>
          </w:p>
        </w:tc>
        <w:tc>
          <w:tcPr>
            <w:tcW w:w="4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Ventas totales ($)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Phones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1,706,874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Copiers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1,509,439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Chairs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1,501,682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Bookcases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1,466,559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Storage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1,127,124</w:t>
            </w:r>
          </w:p>
        </w:tc>
      </w:tr>
    </w:tbl>
    <w:p w:rsidR="00C439E1" w:rsidRDefault="00000000" w:rsidP="002E443B">
      <w:pPr>
        <w:spacing w:after="160" w:line="360" w:lineRule="auto"/>
        <w:jc w:val="both"/>
      </w:pPr>
      <w:proofErr w:type="spellStart"/>
      <w:r>
        <w:t>Phones</w:t>
      </w:r>
      <w:proofErr w:type="spellEnd"/>
      <w:r>
        <w:t xml:space="preserve"> se posiciona como la subcategoría individual más vendida, coherente con el liderazgo general de la categoría </w:t>
      </w:r>
      <w:proofErr w:type="spellStart"/>
      <w:r>
        <w:t>Technology</w:t>
      </w:r>
      <w:proofErr w:type="spellEnd"/>
      <w:r>
        <w:t>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3.4 Ventas por segmento de cliente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Segmento</w:t>
            </w:r>
          </w:p>
        </w:tc>
        <w:tc>
          <w:tcPr>
            <w:tcW w:w="4000" w:type="dxa"/>
            <w:shd w:val="clear" w:color="auto" w:fill="1F3864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b/>
                <w:bCs/>
                <w:color w:val="FFFFFF"/>
              </w:rPr>
              <w:t>Ventas totales ($)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Consumer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6,508,141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proofErr w:type="spellStart"/>
            <w:r>
              <w:rPr>
                <w:color w:val="000000"/>
              </w:rPr>
              <w:t>Corporate</w:t>
            </w:r>
            <w:proofErr w:type="spellEnd"/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3,824,808</w:t>
            </w:r>
          </w:p>
        </w:tc>
      </w:tr>
      <w:tr w:rsidR="00C439E1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Home Office</w:t>
            </w:r>
          </w:p>
        </w:tc>
        <w:tc>
          <w:tcPr>
            <w:tcW w:w="4000" w:type="dxa"/>
          </w:tcPr>
          <w:p w:rsidR="00C439E1" w:rsidRDefault="00000000" w:rsidP="002E443B">
            <w:pPr>
              <w:spacing w:line="360" w:lineRule="auto"/>
              <w:jc w:val="both"/>
            </w:pPr>
            <w:r>
              <w:rPr>
                <w:color w:val="000000"/>
              </w:rPr>
              <w:t>2,309,956</w:t>
            </w:r>
          </w:p>
        </w:tc>
      </w:tr>
    </w:tbl>
    <w:p w:rsidR="00C439E1" w:rsidRDefault="00000000" w:rsidP="002E443B">
      <w:pPr>
        <w:spacing w:after="160" w:line="360" w:lineRule="auto"/>
        <w:jc w:val="both"/>
      </w:pPr>
      <w:r>
        <w:t xml:space="preserve">El segmento </w:t>
      </w:r>
      <w:proofErr w:type="spellStart"/>
      <w:r>
        <w:t>Consumer</w:t>
      </w:r>
      <w:proofErr w:type="spellEnd"/>
      <w:r>
        <w:t xml:space="preserve"> concentra la mayor proporción de las ventas totales, casi duplicando al segmento </w:t>
      </w:r>
      <w:proofErr w:type="spellStart"/>
      <w:r>
        <w:t>Corporate</w:t>
      </w:r>
      <w:proofErr w:type="spellEnd"/>
      <w:r>
        <w:t>. Esto sugiere que las estrategias comerciales orientadas al consumidor final tienen mayor peso relativo en el negocio.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 xml:space="preserve">3.5 Evolución y tendencia de ventas — Categoría </w:t>
      </w:r>
      <w:proofErr w:type="spellStart"/>
      <w:r>
        <w:rPr>
          <w:b/>
          <w:bCs/>
        </w:rPr>
        <w:t>Technology</w:t>
      </w:r>
      <w:proofErr w:type="spellEnd"/>
    </w:p>
    <w:p w:rsidR="00C439E1" w:rsidRDefault="00000000" w:rsidP="002E443B">
      <w:pPr>
        <w:spacing w:after="160" w:line="360" w:lineRule="auto"/>
        <w:jc w:val="both"/>
      </w:pPr>
      <w:r>
        <w:t xml:space="preserve">Se analizó la evolución anual de ventas de la categoría </w:t>
      </w:r>
      <w:proofErr w:type="spellStart"/>
      <w:r>
        <w:t>Technology</w:t>
      </w:r>
      <w:proofErr w:type="spellEnd"/>
      <w:r>
        <w:t xml:space="preserve"> (líder en ventas) entre 2011 y 2014, incorporando una línea de tendencia mediante regresión lineal.</w:t>
      </w:r>
    </w:p>
    <w:p w:rsidR="00C439E1" w:rsidRDefault="00000000" w:rsidP="002E443B">
      <w:pPr>
        <w:spacing w:before="150" w:after="200"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041265" cy="2624934"/>
            <wp:effectExtent l="0" t="0" r="698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363" cy="26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9E1" w:rsidRDefault="00000000" w:rsidP="002E443B">
      <w:pPr>
        <w:spacing w:after="160" w:line="360" w:lineRule="auto"/>
        <w:jc w:val="both"/>
      </w:pPr>
      <w:r>
        <w:t xml:space="preserve">Las ventas de </w:t>
      </w:r>
      <w:proofErr w:type="spellStart"/>
      <w:r>
        <w:t>Technology</w:t>
      </w:r>
      <w:proofErr w:type="spellEnd"/>
      <w:r>
        <w:t xml:space="preserve"> muestran una tendencia de crecimiento sostenido y consistente a lo largo del período analizado, con un incremento promedio estimado de $261,036.10 por año.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3.6 Media móvil</w:t>
      </w:r>
    </w:p>
    <w:p w:rsidR="00C439E1" w:rsidRDefault="00000000" w:rsidP="002E443B">
      <w:pPr>
        <w:spacing w:after="160" w:line="360" w:lineRule="auto"/>
        <w:jc w:val="both"/>
      </w:pPr>
      <w:r>
        <w:t xml:space="preserve">Para suavizar las variaciones año a año y visualizar mejor la tendencia de fondo, se calculó una media móvil de 2 años sobre la serie de ventas de </w:t>
      </w:r>
      <w:proofErr w:type="spellStart"/>
      <w:r>
        <w:t>Technology</w:t>
      </w:r>
      <w:proofErr w:type="spellEnd"/>
      <w:r>
        <w:t>.</w:t>
      </w:r>
    </w:p>
    <w:p w:rsidR="00C439E1" w:rsidRDefault="00000000" w:rsidP="002E443B">
      <w:pPr>
        <w:spacing w:before="150" w:after="200" w:line="360" w:lineRule="auto"/>
        <w:jc w:val="both"/>
      </w:pPr>
      <w:r>
        <w:rPr>
          <w:noProof/>
        </w:rPr>
        <w:drawing>
          <wp:inline distT="0" distB="0" distL="0" distR="0">
            <wp:extent cx="5178601" cy="2562514"/>
            <wp:effectExtent l="0" t="0" r="3175" b="9525"/>
            <wp:docPr id="661984498" name="Imagen 66198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599" cy="258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9E1" w:rsidRDefault="00000000" w:rsidP="002E443B">
      <w:pPr>
        <w:spacing w:after="160" w:line="360" w:lineRule="auto"/>
        <w:jc w:val="both"/>
      </w:pPr>
      <w:r>
        <w:t>La media móvil confirma la misma dirección de crecimiento observada en la línea de tendencia, reforzando la solidez de la señal de crecimiento sostenido en esta categoría.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3.7 Proyección a futuro</w:t>
      </w:r>
    </w:p>
    <w:p w:rsidR="00C439E1" w:rsidRDefault="00000000" w:rsidP="002E443B">
      <w:pPr>
        <w:spacing w:after="160" w:line="360" w:lineRule="auto"/>
        <w:jc w:val="both"/>
      </w:pPr>
      <w:r>
        <w:lastRenderedPageBreak/>
        <w:t xml:space="preserve">Utilizando el modelo </w:t>
      </w:r>
      <w:proofErr w:type="spellStart"/>
      <w:r>
        <w:t>Prophet</w:t>
      </w:r>
      <w:proofErr w:type="spellEnd"/>
      <w:r>
        <w:t xml:space="preserve"> (desarrollado por Meta para pronóstico de series de tiempo), se generó una proyección de ventas de la categoría </w:t>
      </w:r>
      <w:proofErr w:type="spellStart"/>
      <w:r>
        <w:t>Technology</w:t>
      </w:r>
      <w:proofErr w:type="spellEnd"/>
      <w:r>
        <w:t xml:space="preserve"> para los siguientes 3 años, a partir del comportamiento histórico 2011–2014.</w:t>
      </w:r>
    </w:p>
    <w:p w:rsidR="00C439E1" w:rsidRDefault="00000000" w:rsidP="002E443B">
      <w:pPr>
        <w:spacing w:after="160" w:line="360" w:lineRule="auto"/>
        <w:jc w:val="both"/>
      </w:pPr>
      <w:r>
        <w:t>El modelo proyecta una continuidad de la tendencia creciente observada en el histórico, sin señales de desaceleración o cambio de dirección en el horizonte proyectado. Se recomienda actualizar esta proyección a medida que se incorporen nuevos datos, dado que se realizó sobre una serie histórica de solo 4 años.</w:t>
      </w:r>
    </w:p>
    <w:p w:rsidR="00C439E1" w:rsidRDefault="00000000" w:rsidP="002E443B">
      <w:pPr>
        <w:pStyle w:val="Ttulo2"/>
        <w:spacing w:before="300" w:after="150" w:line="360" w:lineRule="auto"/>
        <w:jc w:val="both"/>
      </w:pPr>
      <w:r>
        <w:rPr>
          <w:b/>
          <w:bCs/>
        </w:rPr>
        <w:t>3.8 Descuento y ganancia</w:t>
      </w:r>
    </w:p>
    <w:p w:rsidR="00C439E1" w:rsidRDefault="00000000" w:rsidP="002E443B">
      <w:pPr>
        <w:spacing w:after="160" w:line="360" w:lineRule="auto"/>
        <w:jc w:val="both"/>
      </w:pPr>
      <w:r>
        <w:t>Se exploró la relación entre el nivel de descuento aplicado y la ganancia promedio obtenida. El análisis muestra una tendencia claramente decreciente: a medida que aumenta el porcentaje de descuento, la ganancia promedio disminuye de forma sostenida.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A partir de un descuento del 30% (0.3), la ganancia promedio se vuelve negativa, es decir, las ventas con ese nivel de descuento en adelante generan pérdida en promedio.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El punto de mayor pérdida se observa con un descuento del 85% (0.85), donde la ganancia promedio llega a aproximadamente -$1,500.</w:t>
      </w:r>
    </w:p>
    <w:p w:rsidR="00C439E1" w:rsidRDefault="00000000" w:rsidP="002E443B">
      <w:pPr>
        <w:spacing w:after="160" w:line="360" w:lineRule="auto"/>
        <w:jc w:val="both"/>
      </w:pPr>
      <w:r>
        <w:t>Este hallazgo es uno de los más relevantes del análisis: sugiere que la política de descuentos actual podría estar erosionando la rentabilidad en varias transacciones, particularmente en los tramos de descuento más altos.</w:t>
      </w:r>
    </w:p>
    <w:p w:rsidR="00C439E1" w:rsidRDefault="00000000" w:rsidP="002E443B">
      <w:pPr>
        <w:pStyle w:val="Ttulo1"/>
        <w:spacing w:before="400" w:after="200" w:line="360" w:lineRule="auto"/>
        <w:jc w:val="both"/>
      </w:pPr>
      <w:r>
        <w:rPr>
          <w:b/>
          <w:bCs/>
          <w:color w:val="1F3864"/>
        </w:rPr>
        <w:t>4. Conclusiones y Recomendaciones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Priorizar el abastecimiento e inversión comercial en la categoría </w:t>
      </w:r>
      <w:proofErr w:type="spellStart"/>
      <w:r>
        <w:t>Technology</w:t>
      </w:r>
      <w:proofErr w:type="spellEnd"/>
      <w:r>
        <w:t>, dado su liderazgo en ventas y su tendencia de crecimiento sostenido.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Investigar los factores que hacen de la región Central la zona más rentable, para evaluar si sus prácticas comerciales pueden replicarse en regiones de menor rentabilidad como Canadá y </w:t>
      </w:r>
      <w:proofErr w:type="spellStart"/>
      <w:r>
        <w:t>Southeast</w:t>
      </w:r>
      <w:proofErr w:type="spellEnd"/>
      <w:r>
        <w:t xml:space="preserve"> Asia.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>Establecer un límite máximo recomendado de descuento cercano al 30%, dado que a partir de ese punto la ganancia promedio se vuelve negativa; los descuentos superiores al 80% deberían revisarse caso por caso, ya que concentran las mayores pérdidas promedio.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Reforzar las estrategias comerciales dirigidas al segmento </w:t>
      </w:r>
      <w:proofErr w:type="spellStart"/>
      <w:r>
        <w:t>Consumer</w:t>
      </w:r>
      <w:proofErr w:type="spellEnd"/>
      <w:r>
        <w:t xml:space="preserve">, que concentra la mayor parte de las ventas, sin descuidar el potencial de crecimiento en </w:t>
      </w:r>
      <w:proofErr w:type="spellStart"/>
      <w:r>
        <w:t>Corporate</w:t>
      </w:r>
      <w:proofErr w:type="spellEnd"/>
      <w:r>
        <w:t xml:space="preserve"> y Home Office.</w:t>
      </w:r>
    </w:p>
    <w:p w:rsidR="00C439E1" w:rsidRDefault="00000000" w:rsidP="002E443B">
      <w:pPr>
        <w:pStyle w:val="Prrafodelista"/>
        <w:numPr>
          <w:ilvl w:val="0"/>
          <w:numId w:val="1"/>
        </w:numPr>
        <w:spacing w:after="80" w:line="360" w:lineRule="auto"/>
        <w:ind w:firstLine="0"/>
        <w:jc w:val="both"/>
      </w:pPr>
      <w:r>
        <w:t xml:space="preserve">Dar seguimiento a la proyección de ventas de </w:t>
      </w:r>
      <w:proofErr w:type="spellStart"/>
      <w:r>
        <w:t>Technology</w:t>
      </w:r>
      <w:proofErr w:type="spellEnd"/>
      <w:r>
        <w:t xml:space="preserve"> a medida que se disponga de más años de datos históricos, para mejorar la precisión del modelo predictivo.</w:t>
      </w:r>
    </w:p>
    <w:p w:rsidR="00C439E1" w:rsidRDefault="00000000" w:rsidP="002E443B">
      <w:pPr>
        <w:pStyle w:val="Ttulo1"/>
        <w:spacing w:before="400" w:after="200" w:line="360" w:lineRule="auto"/>
        <w:jc w:val="both"/>
      </w:pPr>
      <w:r>
        <w:rPr>
          <w:b/>
          <w:bCs/>
          <w:color w:val="1F3864"/>
        </w:rPr>
        <w:t>5. Anexo</w:t>
      </w:r>
    </w:p>
    <w:p w:rsidR="00C439E1" w:rsidRDefault="00000000" w:rsidP="002E443B">
      <w:pPr>
        <w:spacing w:after="160" w:line="360" w:lineRule="auto"/>
        <w:jc w:val="both"/>
      </w:pPr>
      <w:r>
        <w:lastRenderedPageBreak/>
        <w:t>Este informe fue elaborado como parte de un proyecto de práctica y portafolio en análisis de datos. El código completo, notebooks y documentación técnica están disponibles en el repositorio de GitHub del proyecto.</w:t>
      </w:r>
    </w:p>
    <w:p w:rsidR="00C439E1" w:rsidRDefault="00000000" w:rsidP="002E443B">
      <w:pPr>
        <w:spacing w:after="160" w:line="360" w:lineRule="auto"/>
        <w:jc w:val="both"/>
      </w:pPr>
      <w:r>
        <w:rPr>
          <w:b/>
          <w:bCs/>
        </w:rPr>
        <w:t>Repositorio: github.com/</w:t>
      </w:r>
      <w:proofErr w:type="spellStart"/>
      <w:r>
        <w:rPr>
          <w:b/>
          <w:bCs/>
        </w:rPr>
        <w:t>gmerlosantander-glitch</w:t>
      </w:r>
      <w:proofErr w:type="spellEnd"/>
      <w:r>
        <w:rPr>
          <w:b/>
          <w:bCs/>
        </w:rPr>
        <w:t>/vacaciones-data-</w:t>
      </w:r>
      <w:proofErr w:type="spellStart"/>
      <w:r>
        <w:rPr>
          <w:b/>
          <w:bCs/>
        </w:rPr>
        <w:t>analysis</w:t>
      </w:r>
      <w:proofErr w:type="spellEnd"/>
    </w:p>
    <w:sectPr w:rsidR="00C439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A2B24"/>
    <w:multiLevelType w:val="hybridMultilevel"/>
    <w:tmpl w:val="69C05CC0"/>
    <w:lvl w:ilvl="0" w:tplc="A342B65E">
      <w:start w:val="1"/>
      <w:numFmt w:val="bullet"/>
      <w:lvlText w:val="●"/>
      <w:lvlJc w:val="left"/>
      <w:pPr>
        <w:ind w:left="720" w:hanging="360"/>
      </w:pPr>
    </w:lvl>
    <w:lvl w:ilvl="1" w:tplc="A316F6D8">
      <w:start w:val="1"/>
      <w:numFmt w:val="bullet"/>
      <w:lvlText w:val="○"/>
      <w:lvlJc w:val="left"/>
      <w:pPr>
        <w:ind w:left="1440" w:hanging="360"/>
      </w:pPr>
    </w:lvl>
    <w:lvl w:ilvl="2" w:tplc="51245278">
      <w:start w:val="1"/>
      <w:numFmt w:val="bullet"/>
      <w:lvlText w:val="■"/>
      <w:lvlJc w:val="left"/>
      <w:pPr>
        <w:ind w:left="2160" w:hanging="360"/>
      </w:pPr>
    </w:lvl>
    <w:lvl w:ilvl="3" w:tplc="536824C4">
      <w:start w:val="1"/>
      <w:numFmt w:val="bullet"/>
      <w:lvlText w:val="●"/>
      <w:lvlJc w:val="left"/>
      <w:pPr>
        <w:ind w:left="2880" w:hanging="360"/>
      </w:pPr>
    </w:lvl>
    <w:lvl w:ilvl="4" w:tplc="EBC0EBAE">
      <w:start w:val="1"/>
      <w:numFmt w:val="bullet"/>
      <w:lvlText w:val="○"/>
      <w:lvlJc w:val="left"/>
      <w:pPr>
        <w:ind w:left="3600" w:hanging="360"/>
      </w:pPr>
    </w:lvl>
    <w:lvl w:ilvl="5" w:tplc="261AFF32">
      <w:start w:val="1"/>
      <w:numFmt w:val="bullet"/>
      <w:lvlText w:val="■"/>
      <w:lvlJc w:val="left"/>
      <w:pPr>
        <w:ind w:left="4320" w:hanging="360"/>
      </w:pPr>
    </w:lvl>
    <w:lvl w:ilvl="6" w:tplc="C0C8624C">
      <w:start w:val="1"/>
      <w:numFmt w:val="bullet"/>
      <w:lvlText w:val="●"/>
      <w:lvlJc w:val="left"/>
      <w:pPr>
        <w:ind w:left="5040" w:hanging="360"/>
      </w:pPr>
    </w:lvl>
    <w:lvl w:ilvl="7" w:tplc="9B0221F2">
      <w:start w:val="1"/>
      <w:numFmt w:val="bullet"/>
      <w:lvlText w:val="●"/>
      <w:lvlJc w:val="left"/>
      <w:pPr>
        <w:ind w:left="5760" w:hanging="360"/>
      </w:pPr>
    </w:lvl>
    <w:lvl w:ilvl="8" w:tplc="B6569F66">
      <w:start w:val="1"/>
      <w:numFmt w:val="bullet"/>
      <w:lvlText w:val="●"/>
      <w:lvlJc w:val="left"/>
      <w:pPr>
        <w:ind w:left="6480" w:hanging="360"/>
      </w:pPr>
    </w:lvl>
  </w:abstractNum>
  <w:num w:numId="1" w16cid:durableId="1372076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9E1"/>
    <w:rsid w:val="002E443B"/>
    <w:rsid w:val="00C439E1"/>
    <w:rsid w:val="00C9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E18BAAC-6FAC-4160-A02B-F8A774A3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1183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Gaby Merlo Santander</cp:lastModifiedBy>
  <cp:revision>2</cp:revision>
  <dcterms:created xsi:type="dcterms:W3CDTF">2026-07-12T20:03:00Z</dcterms:created>
  <dcterms:modified xsi:type="dcterms:W3CDTF">2026-07-12T20:03:00Z</dcterms:modified>
</cp:coreProperties>
</file>