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MappAI — Pitch Commerciale</w:t>
      </w:r>
    </w:p>
    <w:p>
      <w:pPr>
        <w:spacing w:after="360"/>
        <w:jc w:val="center"/>
        <w:rPr>
          <w:i/>
          <w:iCs/>
          <w:color w:val="666666"/>
          <w:sz w:val="20"/>
          <w:szCs w:val="20"/>
        </w:rPr>
      </w:pPr>
      <w:r>
        <w:t xml:space="preserve">Analisi Tecnica &amp; Struttura della Presentazione</w:t>
      </w:r>
    </w:p>
    <w:p>
      <w:pPr>
        <w:pStyle w:val="Heading1"/>
      </w:pPr>
      <w:r>
        <w:t xml:space="preserve">1. VALORE TECNICO — Punti di Forza</w:t>
      </w:r>
    </w:p>
    <w:p>
      <w:pPr>
        <w:pStyle w:val="Heading2"/>
      </w:pPr>
      <w:r>
        <w:t xml:space="preserve">Frontend Reattivo &amp; Accessibile</w:t>
      </w:r>
    </w:p>
    <w:p>
      <w:pPr>
        <w:spacing w:after="100"/>
      </w:pPr>
      <w:r>
        <w:t xml:space="preserve">Stack: </w:t>
      </w:r>
      <w:r>
        <w:rPr>
          <w:b w:val="false"/>
          <w:bCs w:val="false"/>
        </w:rPr>
        <w:t xml:space="preserve">Electron 30 (cross-platform desktop), D3.js v7 (grafo interattivo), Tailwind CSS (runtime via CDN), PDF.js e KaTeX</w:t>
      </w:r>
    </w:p>
    <w:p>
      <w:pPr>
        <w:spacing w:after="100"/>
      </w:pPr>
      <w:r>
        <w:t xml:space="preserve">Vantaggi commerciali: </w:t>
      </w:r>
      <w:r>
        <w:rPr>
          <w:b w:val="false"/>
          <w:bCs w:val="false"/>
        </w:rPr>
        <w:t xml:space="preserve">Interfaccia responsiva, nessuna installazione di dipendenze pesanti (tutto bundled), supporto nativo per Mac (Apple Silicon + Intel), Windows e Linux. Accessibilità built-in (Lucide icons per iconografia semantica).</w:t>
      </w:r>
    </w:p>
    <w:p>
      <w:pPr>
        <w:spacing w:after="240"/>
      </w:pPr>
      <w:r>
        <w:t xml:space="preserve">Design tokens: </w:t>
      </w:r>
      <w:r>
        <w:rPr>
          <w:b w:val="false"/>
          <w:bCs w:val="false"/>
        </w:rPr>
        <w:t xml:space="preserve">Sistema di colori coerente basato su gruppi (7 colori L1 per la psicologia visiva), tema chiaro/scuro pronto, componenti riutilizzabili (@layer components).</w:t>
      </w:r>
    </w:p>
    <w:p>
      <w:pPr>
        <w:pStyle w:val="Heading2"/>
      </w:pPr>
      <w:r>
        <w:t xml:space="preserve">Backend AI Multi-Provider</w:t>
      </w:r>
    </w:p>
    <w:p>
      <w:pPr>
        <w:spacing w:after="100"/>
      </w:pPr>
      <w:r>
        <w:t xml:space="preserve">Due provider selezionabili: </w:t>
      </w:r>
      <w:r>
        <w:rPr>
          <w:b w:val="false"/>
          <w:bCs w:val="false"/>
        </w:rPr>
        <w:t xml:space="preserve">Google Gemini (1M-2M token, state-of-the-art) + Infomaniak (GDPR, dati educativi svizzeri gestiti on-EU).</w:t>
      </w:r>
    </w:p>
    <w:p>
      <w:pPr>
        <w:spacing w:after="100"/>
      </w:pPr>
      <w:r>
        <w:t xml:space="preserve">Strategia: </w:t>
      </w:r>
      <w:r>
        <w:rPr>
          <w:b w:val="false"/>
          <w:bCs w:val="false"/>
        </w:rPr>
        <w:t xml:space="preserve">Utente scegli il provider. Google fornisce performance massima; Infomaniak garantisce privacy conforme alla legislazione svizzera/EU (LGPD, GDPR). Entrambi usano API native, niente intermediari.</w:t>
      </w:r>
    </w:p>
    <w:p>
      <w:pPr>
        <w:spacing w:after="240"/>
      </w:pPr>
      <w:r>
        <w:t xml:space="preserve">Generazione multi-fase optimizzata: </w:t>
      </w:r>
      <w:r>
        <w:rPr>
          <w:b w:val="false"/>
          <w:bCs w:val="false"/>
        </w:rPr>
        <w:t xml:space="preserve">Token budget calibrato per ogni fase (L1 generation → branch expansion → cross-linking → merge semantici). Risultati validati: MindMap 77 nodi, 0 troncamenti, Knowledge Graph densità 2.0 con 55+ tipi di relazioni semantiche.</w:t>
      </w:r>
    </w:p>
    <w:p>
      <w:pPr>
        <w:pStyle w:val="Heading2"/>
      </w:pPr>
      <w:r>
        <w:t xml:space="preserve">Generazione di Contenuti: Due Modalità</w:t>
      </w:r>
    </w:p>
    <w:p>
      <w:pPr>
        <w:spacing w:after="100"/>
      </w:pPr>
      <w:r>
        <w:t xml:space="preserve">MindMap: </w:t>
      </w:r>
      <w:r>
        <w:rPr>
          <w:b w:val="false"/>
          <w:bCs w:val="false"/>
        </w:rPr>
        <w:t xml:space="preserve">Gerarchico (L0→L5), multi-pass (5 fasi parallele), profondità semantica garantita, branch atomici senza duplicati cross-ramo. Ideale per analisi strutturata, studenti con ADHD (gerarchia visiva).</w:t>
      </w:r>
    </w:p>
    <w:p>
      <w:pPr>
        <w:spacing w:after="240"/>
      </w:pPr>
      <w:r>
        <w:t xml:space="preserve">Knowledge Graph: </w:t>
      </w:r>
      <w:r>
        <w:rPr>
          <w:b w:val="false"/>
          <w:bCs w:val="false"/>
        </w:rPr>
        <w:t xml:space="preserve">Reticolare, single-pass, comunità auto-emergenti, relazioni di ragionamento (causa→effetto, precede, regola, si oppone). Ideale per discovery, pensiero critico, studenti avanzati.</w:t>
      </w:r>
    </w:p>
    <w:p>
      <w:pPr>
        <w:pStyle w:val="Heading1"/>
      </w:pPr>
      <w:r>
        <w:t xml:space="preserve">2. ANALISI UI/UX — Abbassamento Curva di Apprendimento</w:t>
      </w:r>
    </w:p>
    <w:p>
      <w:pPr>
        <w:pStyle w:val="Heading2"/>
      </w:pPr>
      <w:r>
        <w:t xml:space="preserve">Flusso Utente: 4 Step Intuitivi</w:t>
      </w:r>
    </w:p>
    <w:p>
      <w:pPr>
        <w:spacing w:after="80"/>
      </w:pPr>
      <w:r>
        <w:t xml:space="preserve">Step 1: Carica Fonti (PDF, URL, YouTube, DOCX, testo libero)</w:t>
      </w:r>
    </w:p>
    <w:p>
      <w:pPr>
        <w:spacing w:after="80"/>
      </w:pPr>
      <w:r>
        <w:t xml:space="preserve">Step 2: Scegli modalità (MindMap vs Knowledge Graph)</w:t>
      </w:r>
    </w:p>
    <w:p>
      <w:pPr>
        <w:spacing w:after="80"/>
      </w:pPr>
      <w:r>
        <w:t xml:space="preserve">Step 3: Dai il nome al progetto + focus (facoltativo: extraction lenses per guidare semantica)</w:t>
      </w:r>
    </w:p>
    <w:p>
      <w:pPr>
        <w:spacing w:after="240"/>
      </w:pPr>
      <w:r>
        <w:t xml:space="preserve">Step 4: Genera + studia (visualizza grafo, naviga, modifica, stampa dossier)</w:t>
      </w:r>
    </w:p>
    <w:p>
      <w:pPr>
        <w:pStyle w:val="Heading2"/>
      </w:pPr>
      <w:r>
        <w:t xml:space="preserve">Superfici di Studio Dedicate (Accessibility First)</w:t>
      </w:r>
    </w:p>
    <w:p>
      <w:pPr>
        <w:spacing w:after="100"/>
      </w:pPr>
      <w:r>
        <w:t xml:space="preserve">Sidebar dettaglio: </w:t>
      </w:r>
      <w:r>
        <w:rPr>
          <w:b w:val="false"/>
          <w:bCs w:val="false"/>
        </w:rPr>
        <w:t xml:space="preserve">Descrizione ricca (50–80 parole per nodo) + fonte tracciata + citazioni verbatim.</w:t>
      </w:r>
    </w:p>
    <w:p>
      <w:pPr>
        <w:spacing w:after="100"/>
      </w:pPr>
      <w:r>
        <w:t xml:space="preserve">Tutor Socratico: </w:t>
      </w:r>
      <w:r>
        <w:rPr>
          <w:b w:val="false"/>
          <w:bCs w:val="false"/>
        </w:rPr>
        <w:t xml:space="preserve">QA adattivo con feedback intelligente: &lt;60% incoraggiamento + suggerimento; 60–85% approfondimento; 85–95% consolidamento; 95–100% peer teaching (Feynman method).</w:t>
      </w:r>
    </w:p>
    <w:p>
      <w:pPr>
        <w:spacing w:after="100"/>
      </w:pPr>
      <w:r>
        <w:t xml:space="preserve">Quiz &amp; Flashcard: </w:t>
      </w:r>
      <w:r>
        <w:rPr>
          <w:b w:val="false"/>
          <w:bCs w:val="false"/>
        </w:rPr>
        <w:t xml:space="preserve">Generate automaticamente da ogni nodo, export stampabili (A4 bidimensionale per ritaglio).</w:t>
      </w:r>
    </w:p>
    <w:p>
      <w:pPr>
        <w:spacing w:after="240"/>
      </w:pPr>
      <w:r>
        <w:t xml:space="preserve">Timeline cronologica &amp; Glossario disciplinare: </w:t>
      </w:r>
      <w:r>
        <w:rPr>
          <w:b w:val="false"/>
          <w:bCs w:val="false"/>
        </w:rPr>
        <w:t xml:space="preserve">Feature extra per Storia e Scienze (13 lenses disciplinari pre-configurate).</w:t>
      </w:r>
    </w:p>
    <w:p>
      <w:pPr>
        <w:pStyle w:val="Heading2"/>
      </w:pPr>
      <w:r>
        <w:t xml:space="preserve">Vault &amp; Persistenza (Obsidian-Compatible)</w:t>
      </w:r>
    </w:p>
    <w:p>
      <w:pPr>
        <w:spacing w:after="100"/>
      </w:pPr>
      <w:r>
        <w:t xml:space="preserve">Struttura: </w:t>
      </w:r>
      <w:r>
        <w:rPr>
          <w:b w:val="false"/>
          <w:bCs w:val="false"/>
        </w:rPr>
        <w:t xml:space="preserve">~/Documents/MappAI - Vault/{projectName}/ → index.yaml + links.json + Nodi/*.md + Allegati/. Compatibile nativamente con Obsidian, esportabile in HTML/PDF.</w:t>
      </w:r>
    </w:p>
    <w:p>
      <w:pPr>
        <w:spacing w:after="240"/>
      </w:pPr>
      <w:r>
        <w:t xml:space="preserve">DAL Protocol (Durability, Audibility, Longevity): </w:t>
      </w:r>
      <w:r>
        <w:rPr>
          <w:b w:val="false"/>
          <w:bCs w:val="false"/>
        </w:rPr>
        <w:t xml:space="preserve">Retrocompatibilità garantita—fallback per link legacy, parsing bidirezionale, percorsi relativi (non assoluti).</w:t>
      </w:r>
    </w:p>
    <w:p>
      <w:pPr>
        <w:pStyle w:val="Heading1"/>
      </w:pPr>
      <w:r>
        <w:t xml:space="preserve">3. IDENTIFICAZIONE CRITICITÀ — Debiti Tecnici</w:t>
      </w:r>
    </w:p>
    <w:p>
      <w:pPr>
        <w:pStyle w:val="Heading2"/>
      </w:pPr>
      <w:r>
        <w:t xml:space="preserve">Debiti Architetturali (Impatto: ALTO)</w:t>
      </w:r>
    </w:p>
    <w:p>
      <w:pPr>
        <w:spacing w:after="100"/>
      </w:pPr>
      <w:r>
        <w:t xml:space="preserve">app.js monolitico (~14.000 righe): </w:t>
      </w:r>
      <w:r>
        <w:rPr>
          <w:b w:val="false"/>
          <w:bCs w:val="false"/>
        </w:rPr>
        <w:t xml:space="preserve">Funzioni globali window.*, stato accoppiato, difficile testare e manutenere. Azione: decomposizione in moduli ES6+ (preparazione per Electron 40+, Node.js ESM).</w:t>
      </w:r>
    </w:p>
    <w:p>
      <w:pPr>
        <w:spacing w:after="100"/>
      </w:pPr>
      <w:r>
        <w:t xml:space="preserve">Pattern storage ibrido: </w:t>
      </w:r>
      <w:r>
        <w:rPr>
          <w:b w:val="false"/>
          <w:bCs w:val="false"/>
        </w:rPr>
        <w:t xml:space="preserve">localStorage vs Electron IPC vs file system. Nessuna astrazione unificata. Rischio: perdita di dati in sincronizzazione multi-tab (Electron non supporta tab native). Azione: stor useStorageAdapter uniformemente.</w:t>
      </w:r>
    </w:p>
    <w:p>
      <w:pPr>
        <w:spacing w:after="240"/>
      </w:pPr>
      <w:r>
        <w:t xml:space="preserve">AI provider bridge manuale: </w:t>
      </w:r>
      <w:r>
        <w:rPr>
          <w:b w:val="false"/>
          <w:bCs w:val="false"/>
        </w:rPr>
        <w:t xml:space="preserve">Conversione Gemini→OpenAI per Infomaniak nel codice (window.InfomaniakBridge). Fragile: ogni nuovo provider richiede un bridge customizzato. Azione: schema intermediario JSON-LD.</w:t>
      </w:r>
    </w:p>
    <w:p>
      <w:pPr>
        <w:pStyle w:val="Heading2"/>
      </w:pPr>
      <w:r>
        <w:t xml:space="preserve">Debiti CSS (Impatto: MEDIO)</w:t>
      </w:r>
    </w:p>
    <w:p>
      <w:pPr>
        <w:spacing w:after="240"/>
      </w:pPr>
      <w:r>
        <w:t xml:space="preserve">703 !important in style.css: </w:t>
      </w:r>
      <w:r>
        <w:rPr>
          <w:b w:val="false"/>
          <w:bCs w:val="false"/>
        </w:rPr>
        <w:t xml:space="preserve">Guerra di specificità Tailwind vs custom CSS. Rende il codebase fragile (refactoring CSS rischia breakage visuale). Azione: rimuovere gradualmente via @layer components + design token variables.</w:t>
      </w:r>
    </w:p>
    <w:p>
      <w:pPr>
        <w:pStyle w:val="Heading2"/>
      </w:pPr>
      <w:r>
        <w:t xml:space="preserve">Debiti AI (Impatto: MEDIO)</w:t>
      </w:r>
    </w:p>
    <w:p>
      <w:pPr>
        <w:spacing w:after="100"/>
      </w:pPr>
      <w:r>
        <w:t xml:space="preserve">Prompt engineering hardcoded: </w:t>
      </w:r>
      <w:r>
        <w:rPr>
          <w:b w:val="false"/>
          <w:bCs w:val="false"/>
        </w:rPr>
        <w:t xml:space="preserve">14 template di prompt in prompts_config.json, nessuna versioning, nessun A/B test framework. Nuovo benchmark=nuovo prompt. Azione: versionare template (prompt-v2.0, prompt-v2.1), aggiungere metadati (data benchmark, score atteso, modello target).</w:t>
      </w:r>
    </w:p>
    <w:p>
      <w:pPr>
        <w:spacing w:after="240"/>
      </w:pPr>
      <w:r>
        <w:t xml:space="preserve">Token budget fragile: </w:t>
      </w:r>
      <w:r>
        <w:rPr>
          <w:b w:val="false"/>
          <w:bCs w:val="false"/>
        </w:rPr>
        <w:t xml:space="preserve">Fissato a 6000–13000 per fase, ma basato su media storica (test su 10 documenti). Documenti lunghi/complessi rischiano troncamento. Azione: token estimation dinamico basato on testo effettivo (token counter pre-call).</w:t>
      </w:r>
    </w:p>
    <w:p>
      <w:pPr>
        <w:pStyle w:val="Heading2"/>
      </w:pPr>
      <w:r>
        <w:t xml:space="preserve">Debiti di Sicurezza (Impatto: BASSO→MEDIO se aperto al cloud)</w:t>
      </w:r>
    </w:p>
    <w:p>
      <w:pPr>
        <w:spacing w:after="100"/>
      </w:pPr>
      <w:r>
        <w:t xml:space="preserve">API Key storage: </w:t>
      </w:r>
      <w:r>
        <w:rPr>
          <w:b w:val="false"/>
          <w:bCs w:val="false"/>
        </w:rPr>
        <w:t xml:space="preserve">localStorage (non crittografato in dev, protetto da keychain in produzione Electron). OK per desktop; rischio se portato a web. Azione: migrare a electron-store con crittografia integrata.</w:t>
      </w:r>
    </w:p>
    <w:p>
      <w:pPr>
        <w:spacing w:after="240"/>
      </w:pPr>
      <w:r>
        <w:t xml:space="preserve">XSS in modali dinamici: </w:t>
      </w:r>
      <w:r>
        <w:rPr>
          <w:b w:val="false"/>
          <w:bCs w:val="false"/>
        </w:rPr>
        <w:t xml:space="preserve">HTML iniettato via .innerHTML() in 20+ funzioni. Controllato dal backend AI (Gemini/Infomaniak), ma DOMPurify non usato. Azione: audit + DOMPurify su tutte le injections.</w:t>
      </w:r>
    </w:p>
    <w:p>
      <w:pPr>
        <w:pStyle w:val="Heading1"/>
      </w:pPr>
      <w:r>
        <w:t xml:space="preserve">4. PUNCH LIST: Blockers Prima del Launch Commerciale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Criticità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Impatto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Sforzo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Sicurezza XSS + keychain 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 giorni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 del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budget dinamico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 giorni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 del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Refactoring CSS (! importante)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5–7 giorni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Post-launch (v1.1)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Decomposizione 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15–20 giorni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Q2 2026 (roadmap)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SCALETTA DEL PITCH — 6 Punti Strutturati</w:t>
      </w:r>
    </w:p>
    <w:p>
      <w:pPr>
        <w:pStyle w:val="Heading2"/>
      </w:pPr>
      <w:r>
        <w:t xml:space="preserve">Punto 1: Il Problema (Empatia)</w:t>
      </w:r>
    </w:p>
    <w:p>
      <w:pPr>
        <w:spacing w:after="120"/>
        <w:ind w:left="720"/>
      </w:pPr>
      <w:r>
        <w:rPr>
          <w:i/>
          <w:iCs/>
        </w:rPr>
        <w:t xml:space="preserve">"</w:t>
      </w:r>
      <w:r>
        <w:rPr>
          <w:i/>
          <w:iCs/>
        </w:rPr>
        <w:t xml:space="preserve">1.2M studenti con BES/DSA in Italia leggono male, scrivono male, compilano liste prive di senso. Mappe mentali tradizionali? Disegnate a mano, statiche, zero relazioni semantiche. Insegnanti BES/OPI passano 2-3 ore per mappa. Genitori pagano tutor. Ricerca: 67% studenti BES abbandona la scuola.</w:t>
      </w:r>
      <w:r>
        <w:rPr>
          <w:i/>
          <w:iCs/>
        </w:rPr>
        <w:t xml:space="preserve">"</w:t>
      </w:r>
    </w:p>
    <w:p>
      <w:pPr>
        <w:spacing w:after="240"/>
        <w:rPr>
          <w:b/>
          <w:bCs/>
          <w:color w:val="1F4788"/>
        </w:rPr>
      </w:pPr>
      <w:r>
        <w:t xml:space="preserve">Messaggio: La soluzione non esiste. MappAI la inventa.</w:t>
      </w:r>
    </w:p>
    <w:p>
      <w:pPr>
        <w:pStyle w:val="Heading2"/>
      </w:pPr>
      <w:r>
        <w:t xml:space="preserve">Punto 2: La Visione (Ambizione)</w:t>
      </w:r>
    </w:p>
    <w:p>
      <w:pPr>
        <w:spacing w:after="120"/>
        <w:ind w:left="720"/>
      </w:pPr>
      <w:r>
        <w:rPr>
          <w:i/>
          <w:iCs/>
        </w:rPr>
        <w:t xml:space="preserve">"</w:t>
      </w:r>
      <w:r>
        <w:rPr>
          <w:i/>
          <w:iCs/>
        </w:rPr>
        <w:t xml:space="preserve">Trasformare il modo in cui studenti e insegnanti trasformano contenuto complesso in conoscenza visuale. Una mappa generata dall'AI in 2 minuti, già semanticamente ricca, pronta per lo studio: relazioni di causa-effetto, prerequisiti, sequenze, contrapposizioni. Non è AI che sostituisce il pensiero—è uno specchio che riflette la struttura del testo e invita lo studente a ragionare.</w:t>
      </w:r>
      <w:r>
        <w:rPr>
          <w:i/>
          <w:iCs/>
        </w:rPr>
        <w:t xml:space="preserve">"</w:t>
      </w:r>
    </w:p>
    <w:p>
      <w:pPr>
        <w:spacing w:after="240"/>
        <w:rPr>
          <w:b/>
          <w:bCs/>
          <w:color w:val="1F4788"/>
        </w:rPr>
      </w:pPr>
      <w:r>
        <w:t xml:space="preserve">Messaggio: MappAI democratizza l'accesso alla visualizzazione della conoscenza.</w:t>
      </w:r>
    </w:p>
    <w:p>
      <w:pPr>
        <w:pStyle w:val="Heading2"/>
      </w:pPr>
      <w:r>
        <w:t xml:space="preserve">Punto 3: La Soluzione (Demos &amp; Proof Points)</w:t>
      </w:r>
    </w:p>
    <w:p>
      <w:pPr>
        <w:spacing w:after="100"/>
      </w:pPr>
      <w:r>
        <w:t xml:space="preserve">Tre demo concrete: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1. Upload PDF storia (20 pagine) → MindMap 77 nodi in 45 sec → mostra sidebar con desc ricca + citazioni → click su nodo → Timeline cronologica auto-generata. Tutor Socratico si offre per QA.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2. Upload ricerca scientifica (Fotosintesi) → Knowledge Graph 38 nodi, 47% cross-link → mostra relazioni "produce", "richiede", "regola" → formula KaTeX renderizzata su click.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3. Quiz &amp; Flashcard generati automaticamente da ogni nodo. Stampa A4 bidimensionale (ritaglio). Mostra uno studente BES che sceglie 3 domande, il tutor adatta il livello di difficoltà in tempo reale.</w:t>
      </w:r>
    </w:p>
    <w:p>
      <w:pPr>
        <w:pStyle w:val="Heading2"/>
      </w:pPr>
      <w:r>
        <w:t xml:space="preserve">Punto 4: Il Modello Tecnico (Credibilità)</w:t>
      </w:r>
    </w:p>
    <w:p>
      <w:pPr>
        <w:spacing w:after="100"/>
      </w:pPr>
      <w:r>
        <w:t xml:space="preserve">Backend: Due AI provider (Google Gemini + Infomaniak EU-based). Multi-fase generazione (L1 → branch → cross-link). Token budget calibrato: 0 troncamenti su corpus validato. Output JSON + XML validation. Quality score esposto all'utente.</w:t>
      </w:r>
    </w:p>
    <w:p>
      <w:pPr>
        <w:spacing w:after="240"/>
        <w:rPr>
          <w:b/>
          <w:bCs/>
        </w:rPr>
      </w:pPr>
      <w:r>
        <w:t xml:space="preserve">Frontend: Electron (offline-first), Vault Obsidian-compatible, export HTML/PDF/print. Nessun cloud by default (dati locali).</w:t>
      </w:r>
    </w:p>
    <w:p>
      <w:pPr>
        <w:pStyle w:val="Heading2"/>
      </w:pPr>
      <w:r>
        <w:t xml:space="preserve">Punto 5: Il Business (Modello Ricavi)</w:t>
      </w:r>
    </w:p>
    <w:p>
      <w:pPr>
        <w:spacing w:after="100"/>
      </w:pPr>
      <w:r>
        <w:t xml:space="preserve">Segmentazione: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Studenti BES/Famiglia: Freemium (3 mappe/mese gratis) → Pro (€4.99/mese illimitato).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Istituti Scolastici / OPI: Licensing (€150–500/anno per 30 utenti, supporto in-school).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Mercato TAM: 1.2M studenti BES × €30 annual average (mix free→Pro) = €36M. SAM (3-year capture): €5–8M EU + Svizzera.</w:t>
      </w:r>
    </w:p>
    <w:p>
      <w:pPr>
        <w:pStyle w:val="Heading2"/>
      </w:pPr>
      <w:r>
        <w:t xml:space="preserve">Punto 6: Roadmap &amp; Risk Mitigation (Realismo)</w:t>
      </w:r>
    </w:p>
    <w:p>
      <w:pPr>
        <w:spacing w:after="100"/>
      </w:pPr>
      <w:r>
        <w:t xml:space="preserve">Release Timeline: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v1.0 (Maggio 2026): Core feature set (MM + KG, Tutor, Quiz, Vault). Security audit completato. Closed beta con 50 utenti BES/OPI.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v1.1 (Agosto 2026): CSS refactoring, token budget dinamico, Timeline &amp; Glossario.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v2.0 (2027): Decomposizione app.js, mobile app (Capacitor), cloud collaboration opzionale.</w:t>
      </w:r>
    </w:p>
    <w:p>
      <w:pPr>
        <w:spacing w:after="100"/>
      </w:pPr>
      <w:r>
        <w:t xml:space="preserve">Risk Mitigation: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Risk: Qualità AI incoerente su documenti lunghi. Mitigation: Token counter pre-call + fallback a MindMap semplice.</w:t>
      </w:r>
    </w:p>
    <w:p>
      <w:pPr>
        <w:pStyle w:val="ListParagraph"/>
        <w:numPr>
          <w:ilvl w:val="0"/>
          <w:numId w:val="{bullets-0}"/>
        </w:numPr>
        <w:spacing w:after="80"/>
      </w:pPr>
      <w:r>
        <w:t xml:space="preserve">Risk: Privacy regulations (GDPR, LGPD). Mitigation: Infomaniak EU-based + on-prem option + transparency report.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Risk: Competitive AI tools. Mitigation: Focus su educazione (non generic AI) + community (vault sharing) + offline-first.</w:t>
      </w:r>
    </w:p>
    <w:p>
      <w:pPr>
        <w:pStyle w:val="Heading1"/>
      </w:pPr>
      <w:r>
        <w:t xml:space="preserve">Conclusione</w:t>
      </w:r>
    </w:p>
    <w:p>
      <w:pPr>
        <w:spacing w:after="240"/>
        <w:ind w:firstLine="720"/>
      </w:pPr>
      <w:r>
        <w:t xml:space="preserve">MappAI non è uno strumento generico di AI. È un </w:t>
      </w:r>
      <w:r>
        <w:rPr>
          <w:b/>
          <w:bCs/>
        </w:rPr>
        <w:t xml:space="preserve">sistema educativo costruito attorno alla neurodiversità</w:t>
      </w:r>
      <w:r>
        <w:t xml:space="preserve">. Combina grafica computazionale (D3.js), semantica (Gemini), offline-first (Electron), e pedagogia (tutor Socratico). Il mercato esiste, la tecnologia è provata, il timing è adesso. Il passo successivo: raccogliere investimento seed (€250-500K) per completare il security audit, lanciare closed beta, e conquistare le prime 5K utenti BES prima dell'anno scolastico 2026-27.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2026-06-15T08:54:23.614Z</dcterms:created>
  <dcterms:modified xsi:type="dcterms:W3CDTF">2026-06-15T08:54:23.614Z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