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 Verification Report — Literature Review</w:t>
      </w:r>
    </w:p>
    <w:p>
      <w:pPr>
        <w:spacing w:after="200"/>
      </w:pPr>
      <w:r>
        <w:rPr>
          <w:i/>
        </w:rPr>
        <w:t>Companion to “Ancient_Greek_LLM_Stylometry_Literature_Review.docx.” Every one of the 51 references cited in the literature review was checked against an authoritative source — a publisher or journal landing page, the ACL Anthology, arXiv, the Crossref metadata API, or an official proceedings/repository record. All 51 were confirmed to exist with the bibliographic details as cited; none is unconfirmed. Entries marked “self-checked” were re-verified directly during this session (the post-cutoff 2025–2026 items and the author’s own works); the remainder were verified through the source shown. Symbols in the Status column point to the caveats listed below the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04"/>
            <w:shd w:val="clear" w:color="auto" w:fill="1F3864"/>
          </w:tcPr>
          <w:p>
            <w:pPr>
              <w:spacing w:after="40" w:line="240" w:lineRule="auto"/>
            </w:pPr>
            <w:r>
              <w:rPr>
                <w:color w:val="FFFFFF"/>
              </w:rPr>
            </w:r>
            <w:r>
              <w:rPr>
                <w:rFonts w:ascii="Times New Roman" w:hAnsi="Times New Roman"/>
                <w:b/>
                <w:i w:val="0"/>
                <w:color w:val="FFFFFF"/>
                <w:sz w:val="18"/>
              </w:rPr>
              <w:t>#</w:t>
            </w:r>
          </w:p>
        </w:tc>
        <w:tc>
          <w:tcPr>
            <w:tcW w:type="dxa" w:w="4752"/>
            <w:shd w:val="clear" w:color="auto" w:fill="1F3864"/>
          </w:tcPr>
          <w:p>
            <w:pPr>
              <w:spacing w:after="40" w:line="240" w:lineRule="auto"/>
            </w:pPr>
            <w:r>
              <w:rPr>
                <w:color w:val="FFFFFF"/>
              </w:rPr>
            </w:r>
            <w:r>
              <w:rPr>
                <w:rFonts w:ascii="Times New Roman" w:hAnsi="Times New Roman"/>
                <w:b/>
                <w:i w:val="0"/>
                <w:color w:val="FFFFFF"/>
                <w:sz w:val="18"/>
              </w:rPr>
              <w:t>Reference (author, year, venue)</w:t>
            </w:r>
          </w:p>
        </w:tc>
        <w:tc>
          <w:tcPr>
            <w:tcW w:type="dxa" w:w="3888"/>
            <w:shd w:val="clear" w:color="auto" w:fill="1F3864"/>
          </w:tcPr>
          <w:p>
            <w:pPr>
              <w:spacing w:after="40" w:line="240" w:lineRule="auto"/>
            </w:pPr>
            <w:r>
              <w:rPr>
                <w:color w:val="FFFFFF"/>
              </w:rPr>
            </w:r>
            <w:r>
              <w:rPr>
                <w:rFonts w:ascii="Times New Roman" w:hAnsi="Times New Roman"/>
                <w:b/>
                <w:i w:val="0"/>
                <w:color w:val="FFFFFF"/>
                <w:sz w:val="18"/>
              </w:rPr>
              <w:t>Verified via</w:t>
            </w:r>
          </w:p>
        </w:tc>
        <w:tc>
          <w:tcPr>
            <w:tcW w:type="dxa" w:w="1368"/>
            <w:shd w:val="clear" w:color="auto" w:fill="1F3864"/>
          </w:tcPr>
          <w:p>
            <w:pPr>
              <w:spacing w:after="40" w:line="240" w:lineRule="auto"/>
            </w:pPr>
            <w:r>
              <w:rPr>
                <w:color w:val="FFFFFF"/>
              </w:rPr>
            </w:r>
            <w:r>
              <w:rPr>
                <w:rFonts w:ascii="Times New Roman" w:hAnsi="Times New Roman"/>
                <w:b/>
                <w:i w:val="0"/>
                <w:color w:val="FFFFFF"/>
                <w:sz w:val="18"/>
              </w:rPr>
              <w:t>Status</w:t>
            </w:r>
          </w:p>
        </w:tc>
      </w:tr>
      <w:tr>
        <w:tc>
          <w:tcPr>
            <w:tcW w:type="dxa" w:w="504"/>
          </w:tcPr>
          <w:p>
            <w:pPr>
              <w:spacing w:after="40" w:line="240" w:lineRule="auto"/>
            </w:pPr>
            <w:r/>
            <w:r>
              <w:rPr>
                <w:rFonts w:ascii="Times New Roman" w:hAnsi="Times New Roman"/>
                <w:b w:val="0"/>
                <w:i w:val="0"/>
                <w:sz w:val="18"/>
              </w:rPr>
              <w:t>1</w:t>
            </w:r>
          </w:p>
        </w:tc>
        <w:tc>
          <w:tcPr>
            <w:tcW w:type="dxa" w:w="4752"/>
          </w:tcPr>
          <w:p>
            <w:pPr>
              <w:spacing w:after="40" w:line="240" w:lineRule="auto"/>
            </w:pPr>
            <w:r/>
            <w:r>
              <w:rPr>
                <w:rFonts w:ascii="Times New Roman" w:hAnsi="Times New Roman"/>
                <w:b w:val="0"/>
                <w:i w:val="0"/>
                <w:sz w:val="18"/>
              </w:rPr>
              <w:t>Argamon (2008), Lit. &amp; Ling. Computing 23(2)</w:t>
            </w:r>
          </w:p>
        </w:tc>
        <w:tc>
          <w:tcPr>
            <w:tcW w:type="dxa" w:w="3888"/>
          </w:tcPr>
          <w:p>
            <w:pPr>
              <w:spacing w:after="40" w:line="240" w:lineRule="auto"/>
            </w:pPr>
            <w:r/>
            <w:r>
              <w:rPr>
                <w:rFonts w:ascii="Times New Roman" w:hAnsi="Times New Roman"/>
                <w:b w:val="0"/>
                <w:i w:val="0"/>
                <w:sz w:val="18"/>
              </w:rPr>
              <w:t>DOI 10.1093/llc/fqn003 (Oxford Academic)</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w:t>
            </w:r>
          </w:p>
        </w:tc>
        <w:tc>
          <w:tcPr>
            <w:tcW w:type="dxa" w:w="4752"/>
          </w:tcPr>
          <w:p>
            <w:pPr>
              <w:spacing w:after="40" w:line="240" w:lineRule="auto"/>
            </w:pPr>
            <w:r/>
            <w:r>
              <w:rPr>
                <w:rFonts w:ascii="Times New Roman" w:hAnsi="Times New Roman"/>
                <w:b w:val="0"/>
                <w:i w:val="0"/>
                <w:sz w:val="18"/>
              </w:rPr>
              <w:t>Bamman &amp; Burns (2020), Latin BERT</w:t>
            </w:r>
          </w:p>
        </w:tc>
        <w:tc>
          <w:tcPr>
            <w:tcW w:type="dxa" w:w="3888"/>
          </w:tcPr>
          <w:p>
            <w:pPr>
              <w:spacing w:after="40" w:line="240" w:lineRule="auto"/>
            </w:pPr>
            <w:r/>
            <w:r>
              <w:rPr>
                <w:rFonts w:ascii="Times New Roman" w:hAnsi="Times New Roman"/>
                <w:b w:val="0"/>
                <w:i w:val="0"/>
                <w:sz w:val="18"/>
              </w:rPr>
              <w:t>arXiv:2009.10053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w:t>
            </w:r>
          </w:p>
        </w:tc>
        <w:tc>
          <w:tcPr>
            <w:tcW w:type="dxa" w:w="4752"/>
          </w:tcPr>
          <w:p>
            <w:pPr>
              <w:spacing w:after="40" w:line="240" w:lineRule="auto"/>
            </w:pPr>
            <w:r/>
            <w:r>
              <w:rPr>
                <w:rFonts w:ascii="Times New Roman" w:hAnsi="Times New Roman"/>
                <w:b w:val="0"/>
                <w:i w:val="0"/>
                <w:sz w:val="18"/>
              </w:rPr>
              <w:t>Bamman &amp; Crane (2011), AGLDT (Springer)</w:t>
            </w:r>
          </w:p>
        </w:tc>
        <w:tc>
          <w:tcPr>
            <w:tcW w:type="dxa" w:w="3888"/>
          </w:tcPr>
          <w:p>
            <w:pPr>
              <w:spacing w:after="40" w:line="240" w:lineRule="auto"/>
            </w:pPr>
            <w:r/>
            <w:r>
              <w:rPr>
                <w:rFonts w:ascii="Times New Roman" w:hAnsi="Times New Roman"/>
                <w:b w:val="0"/>
                <w:i w:val="0"/>
                <w:sz w:val="18"/>
              </w:rPr>
              <w:t>DOI 10.1007/978-3-642-20227-8_5 (Crossref)</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w:t>
            </w:r>
          </w:p>
        </w:tc>
        <w:tc>
          <w:tcPr>
            <w:tcW w:type="dxa" w:w="4752"/>
          </w:tcPr>
          <w:p>
            <w:pPr>
              <w:spacing w:after="40" w:line="240" w:lineRule="auto"/>
            </w:pPr>
            <w:r/>
            <w:r>
              <w:rPr>
                <w:rFonts w:ascii="Times New Roman" w:hAnsi="Times New Roman"/>
                <w:b w:val="0"/>
                <w:i w:val="0"/>
                <w:sz w:val="18"/>
              </w:rPr>
              <w:t>Bommasani et al. (2021), Foundation models</w:t>
            </w:r>
          </w:p>
        </w:tc>
        <w:tc>
          <w:tcPr>
            <w:tcW w:type="dxa" w:w="3888"/>
          </w:tcPr>
          <w:p>
            <w:pPr>
              <w:spacing w:after="40" w:line="240" w:lineRule="auto"/>
            </w:pPr>
            <w:r/>
            <w:r>
              <w:rPr>
                <w:rFonts w:ascii="Times New Roman" w:hAnsi="Times New Roman"/>
                <w:b w:val="0"/>
                <w:i w:val="0"/>
                <w:sz w:val="18"/>
              </w:rPr>
              <w:t>arXiv:2108.07258</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5</w:t>
            </w:r>
          </w:p>
        </w:tc>
        <w:tc>
          <w:tcPr>
            <w:tcW w:type="dxa" w:w="4752"/>
          </w:tcPr>
          <w:p>
            <w:pPr>
              <w:spacing w:after="40" w:line="240" w:lineRule="auto"/>
            </w:pPr>
            <w:r/>
            <w:r>
              <w:rPr>
                <w:rFonts w:ascii="Times New Roman" w:hAnsi="Times New Roman"/>
                <w:b w:val="0"/>
                <w:i w:val="0"/>
                <w:sz w:val="18"/>
              </w:rPr>
              <w:t>Brown et al. (2020), GPT-3, NeurIPS 33</w:t>
            </w:r>
          </w:p>
        </w:tc>
        <w:tc>
          <w:tcPr>
            <w:tcW w:type="dxa" w:w="3888"/>
          </w:tcPr>
          <w:p>
            <w:pPr>
              <w:spacing w:after="40" w:line="240" w:lineRule="auto"/>
            </w:pPr>
            <w:r/>
            <w:r>
              <w:rPr>
                <w:rFonts w:ascii="Times New Roman" w:hAnsi="Times New Roman"/>
                <w:b w:val="0"/>
                <w:i w:val="0"/>
                <w:sz w:val="18"/>
              </w:rPr>
              <w:t>papers.nips.cc; arXiv:2005.14165</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6</w:t>
            </w:r>
          </w:p>
        </w:tc>
        <w:tc>
          <w:tcPr>
            <w:tcW w:type="dxa" w:w="4752"/>
          </w:tcPr>
          <w:p>
            <w:pPr>
              <w:spacing w:after="40" w:line="240" w:lineRule="auto"/>
            </w:pPr>
            <w:r/>
            <w:r>
              <w:rPr>
                <w:rFonts w:ascii="Times New Roman" w:hAnsi="Times New Roman"/>
                <w:b w:val="0"/>
                <w:i w:val="0"/>
                <w:sz w:val="18"/>
              </w:rPr>
              <w:t>Burrows (2002), Lit. &amp; Ling. Computing 17(3)</w:t>
            </w:r>
          </w:p>
        </w:tc>
        <w:tc>
          <w:tcPr>
            <w:tcW w:type="dxa" w:w="3888"/>
          </w:tcPr>
          <w:p>
            <w:pPr>
              <w:spacing w:after="40" w:line="240" w:lineRule="auto"/>
            </w:pPr>
            <w:r/>
            <w:r>
              <w:rPr>
                <w:rFonts w:ascii="Times New Roman" w:hAnsi="Times New Roman"/>
                <w:b w:val="0"/>
                <w:i w:val="0"/>
                <w:sz w:val="18"/>
              </w:rPr>
              <w:t>DOI 10.1093/llc/17.3.267</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7</w:t>
            </w:r>
          </w:p>
        </w:tc>
        <w:tc>
          <w:tcPr>
            <w:tcW w:type="dxa" w:w="4752"/>
          </w:tcPr>
          <w:p>
            <w:pPr>
              <w:spacing w:after="40" w:line="240" w:lineRule="auto"/>
            </w:pPr>
            <w:r/>
            <w:r>
              <w:rPr>
                <w:rFonts w:ascii="Times New Roman" w:hAnsi="Times New Roman"/>
                <w:b w:val="0"/>
                <w:i w:val="0"/>
                <w:sz w:val="18"/>
              </w:rPr>
              <w:t>Celano (2024), AG parser/lemmatizer</w:t>
            </w:r>
          </w:p>
        </w:tc>
        <w:tc>
          <w:tcPr>
            <w:tcW w:type="dxa" w:w="3888"/>
          </w:tcPr>
          <w:p>
            <w:pPr>
              <w:spacing w:after="40" w:line="240" w:lineRule="auto"/>
            </w:pPr>
            <w:r/>
            <w:r>
              <w:rPr>
                <w:rFonts w:ascii="Times New Roman" w:hAnsi="Times New Roman"/>
                <w:b w:val="0"/>
                <w:i w:val="0"/>
                <w:sz w:val="18"/>
              </w:rPr>
              <w:t>arXiv:2410.12055</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8</w:t>
            </w:r>
          </w:p>
        </w:tc>
        <w:tc>
          <w:tcPr>
            <w:tcW w:type="dxa" w:w="4752"/>
          </w:tcPr>
          <w:p>
            <w:pPr>
              <w:spacing w:after="40" w:line="240" w:lineRule="auto"/>
            </w:pPr>
            <w:r/>
            <w:r>
              <w:rPr>
                <w:rFonts w:ascii="Times New Roman" w:hAnsi="Times New Roman"/>
                <w:b w:val="0"/>
                <w:i w:val="0"/>
                <w:sz w:val="18"/>
              </w:rPr>
              <w:t>Crothers et al. (2023), IEEE Access 11</w:t>
            </w:r>
          </w:p>
        </w:tc>
        <w:tc>
          <w:tcPr>
            <w:tcW w:type="dxa" w:w="3888"/>
          </w:tcPr>
          <w:p>
            <w:pPr>
              <w:spacing w:after="40" w:line="240" w:lineRule="auto"/>
            </w:pPr>
            <w:r/>
            <w:r>
              <w:rPr>
                <w:rFonts w:ascii="Times New Roman" w:hAnsi="Times New Roman"/>
                <w:b w:val="0"/>
                <w:i w:val="0"/>
                <w:sz w:val="18"/>
              </w:rPr>
              <w:t>DOI 10.1109/ACCESS.2023.3294090 (Crossref)</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9</w:t>
            </w:r>
          </w:p>
        </w:tc>
        <w:tc>
          <w:tcPr>
            <w:tcW w:type="dxa" w:w="4752"/>
          </w:tcPr>
          <w:p>
            <w:pPr>
              <w:spacing w:after="40" w:line="240" w:lineRule="auto"/>
            </w:pPr>
            <w:r/>
            <w:r>
              <w:rPr>
                <w:rFonts w:ascii="Times New Roman" w:hAnsi="Times New Roman"/>
                <w:b w:val="0"/>
                <w:i w:val="0"/>
                <w:sz w:val="18"/>
              </w:rPr>
              <w:t>Eder et al. (2016), The R Journal 8(1)</w:t>
            </w:r>
          </w:p>
        </w:tc>
        <w:tc>
          <w:tcPr>
            <w:tcW w:type="dxa" w:w="3888"/>
          </w:tcPr>
          <w:p>
            <w:pPr>
              <w:spacing w:after="40" w:line="240" w:lineRule="auto"/>
            </w:pPr>
            <w:r/>
            <w:r>
              <w:rPr>
                <w:rFonts w:ascii="Times New Roman" w:hAnsi="Times New Roman"/>
                <w:b w:val="0"/>
                <w:i w:val="0"/>
                <w:sz w:val="18"/>
              </w:rPr>
              <w:t>DOI 10.32614/RJ-2016-007</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10</w:t>
            </w:r>
          </w:p>
        </w:tc>
        <w:tc>
          <w:tcPr>
            <w:tcW w:type="dxa" w:w="4752"/>
          </w:tcPr>
          <w:p>
            <w:pPr>
              <w:spacing w:after="40" w:line="240" w:lineRule="auto"/>
            </w:pPr>
            <w:r/>
            <w:r>
              <w:rPr>
                <w:rFonts w:ascii="Times New Roman" w:hAnsi="Times New Roman"/>
                <w:b w:val="0"/>
                <w:i w:val="0"/>
                <w:sz w:val="18"/>
              </w:rPr>
              <w:t>Evert et al. (2017), DSH 32(Suppl. 2)</w:t>
            </w:r>
          </w:p>
        </w:tc>
        <w:tc>
          <w:tcPr>
            <w:tcW w:type="dxa" w:w="3888"/>
          </w:tcPr>
          <w:p>
            <w:pPr>
              <w:spacing w:after="40" w:line="240" w:lineRule="auto"/>
            </w:pPr>
            <w:r/>
            <w:r>
              <w:rPr>
                <w:rFonts w:ascii="Times New Roman" w:hAnsi="Times New Roman"/>
                <w:b w:val="0"/>
                <w:i w:val="0"/>
                <w:sz w:val="18"/>
              </w:rPr>
              <w:t>DOI 10.1093/llc/fqx023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11</w:t>
            </w:r>
          </w:p>
        </w:tc>
        <w:tc>
          <w:tcPr>
            <w:tcW w:type="dxa" w:w="4752"/>
          </w:tcPr>
          <w:p>
            <w:pPr>
              <w:spacing w:after="40" w:line="240" w:lineRule="auto"/>
            </w:pPr>
            <w:r/>
            <w:r>
              <w:rPr>
                <w:rFonts w:ascii="Times New Roman" w:hAnsi="Times New Roman"/>
                <w:b w:val="0"/>
                <w:i w:val="0"/>
                <w:sz w:val="18"/>
              </w:rPr>
              <w:t>Gehrmann et al. (2019), GLTR, ACL demos</w:t>
            </w:r>
          </w:p>
        </w:tc>
        <w:tc>
          <w:tcPr>
            <w:tcW w:type="dxa" w:w="3888"/>
          </w:tcPr>
          <w:p>
            <w:pPr>
              <w:spacing w:after="40" w:line="240" w:lineRule="auto"/>
            </w:pPr>
            <w:r/>
            <w:r>
              <w:rPr>
                <w:rFonts w:ascii="Times New Roman" w:hAnsi="Times New Roman"/>
                <w:b w:val="0"/>
                <w:i w:val="0"/>
                <w:sz w:val="18"/>
              </w:rPr>
              <w:t>ACL P19-3019; DOI 10.18653/v1/P19-3019</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12</w:t>
            </w:r>
          </w:p>
        </w:tc>
        <w:tc>
          <w:tcPr>
            <w:tcW w:type="dxa" w:w="4752"/>
          </w:tcPr>
          <w:p>
            <w:pPr>
              <w:spacing w:after="40" w:line="240" w:lineRule="auto"/>
            </w:pPr>
            <w:r/>
            <w:r>
              <w:rPr>
                <w:rFonts w:ascii="Times New Roman" w:hAnsi="Times New Roman"/>
                <w:b w:val="0"/>
                <w:i w:val="0"/>
                <w:sz w:val="18"/>
              </w:rPr>
              <w:t>Gorman, R. (2020), DSH 35(4)</w:t>
            </w:r>
          </w:p>
        </w:tc>
        <w:tc>
          <w:tcPr>
            <w:tcW w:type="dxa" w:w="3888"/>
          </w:tcPr>
          <w:p>
            <w:pPr>
              <w:spacing w:after="40" w:line="240" w:lineRule="auto"/>
            </w:pPr>
            <w:r/>
            <w:r>
              <w:rPr>
                <w:rFonts w:ascii="Times New Roman" w:hAnsi="Times New Roman"/>
                <w:b w:val="0"/>
                <w:i w:val="0"/>
                <w:sz w:val="18"/>
              </w:rPr>
              <w:t>DOI 10.1093/llc/fqz070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13</w:t>
            </w:r>
          </w:p>
        </w:tc>
        <w:tc>
          <w:tcPr>
            <w:tcW w:type="dxa" w:w="4752"/>
          </w:tcPr>
          <w:p>
            <w:pPr>
              <w:spacing w:after="40" w:line="240" w:lineRule="auto"/>
            </w:pPr>
            <w:r/>
            <w:r>
              <w:rPr>
                <w:rFonts w:ascii="Times New Roman" w:hAnsi="Times New Roman"/>
                <w:b w:val="0"/>
                <w:i w:val="0"/>
                <w:sz w:val="18"/>
              </w:rPr>
              <w:t>Gorman &amp; Gorman (2016), Open Linguistics 2(1)</w:t>
            </w:r>
          </w:p>
        </w:tc>
        <w:tc>
          <w:tcPr>
            <w:tcW w:type="dxa" w:w="3888"/>
          </w:tcPr>
          <w:p>
            <w:pPr>
              <w:spacing w:after="40" w:line="240" w:lineRule="auto"/>
            </w:pPr>
            <w:r/>
            <w:r>
              <w:rPr>
                <w:rFonts w:ascii="Times New Roman" w:hAnsi="Times New Roman"/>
                <w:b w:val="0"/>
                <w:i w:val="0"/>
                <w:sz w:val="18"/>
              </w:rPr>
              <w:t>DOI 10.1515/opli-2016-0026</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14</w:t>
            </w:r>
          </w:p>
        </w:tc>
        <w:tc>
          <w:tcPr>
            <w:tcW w:type="dxa" w:w="4752"/>
          </w:tcPr>
          <w:p>
            <w:pPr>
              <w:spacing w:after="40" w:line="240" w:lineRule="auto"/>
            </w:pPr>
            <w:r/>
            <w:r>
              <w:rPr>
                <w:rFonts w:ascii="Times New Roman" w:hAnsi="Times New Roman"/>
                <w:b w:val="0"/>
                <w:i w:val="0"/>
                <w:sz w:val="18"/>
              </w:rPr>
              <w:t>Grieve (2007), Lit. &amp; Ling. Computing 22(3)</w:t>
            </w:r>
          </w:p>
        </w:tc>
        <w:tc>
          <w:tcPr>
            <w:tcW w:type="dxa" w:w="3888"/>
          </w:tcPr>
          <w:p>
            <w:pPr>
              <w:spacing w:after="40" w:line="240" w:lineRule="auto"/>
            </w:pPr>
            <w:r/>
            <w:r>
              <w:rPr>
                <w:rFonts w:ascii="Times New Roman" w:hAnsi="Times New Roman"/>
                <w:b w:val="0"/>
                <w:i w:val="0"/>
                <w:sz w:val="18"/>
              </w:rPr>
              <w:t>DOI 10.1093/llc/fqm020</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15</w:t>
            </w:r>
          </w:p>
        </w:tc>
        <w:tc>
          <w:tcPr>
            <w:tcW w:type="dxa" w:w="4752"/>
          </w:tcPr>
          <w:p>
            <w:pPr>
              <w:spacing w:after="40" w:line="240" w:lineRule="auto"/>
            </w:pPr>
            <w:r/>
            <w:r>
              <w:rPr>
                <w:rFonts w:ascii="Times New Roman" w:hAnsi="Times New Roman"/>
                <w:b w:val="0"/>
                <w:i w:val="0"/>
                <w:sz w:val="18"/>
              </w:rPr>
              <w:t>Guo et al. (2023), HC3</w:t>
            </w:r>
          </w:p>
        </w:tc>
        <w:tc>
          <w:tcPr>
            <w:tcW w:type="dxa" w:w="3888"/>
          </w:tcPr>
          <w:p>
            <w:pPr>
              <w:spacing w:after="40" w:line="240" w:lineRule="auto"/>
            </w:pPr>
            <w:r/>
            <w:r>
              <w:rPr>
                <w:rFonts w:ascii="Times New Roman" w:hAnsi="Times New Roman"/>
                <w:b w:val="0"/>
                <w:i w:val="0"/>
                <w:sz w:val="18"/>
              </w:rPr>
              <w:t>arXiv:2301.07597</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16</w:t>
            </w:r>
          </w:p>
        </w:tc>
        <w:tc>
          <w:tcPr>
            <w:tcW w:type="dxa" w:w="4752"/>
          </w:tcPr>
          <w:p>
            <w:pPr>
              <w:spacing w:after="40" w:line="240" w:lineRule="auto"/>
            </w:pPr>
            <w:r/>
            <w:r>
              <w:rPr>
                <w:rFonts w:ascii="Times New Roman" w:hAnsi="Times New Roman"/>
                <w:b w:val="0"/>
                <w:i w:val="0"/>
                <w:sz w:val="18"/>
              </w:rPr>
              <w:t>Hämäläinen (2024), DAG/ChatGPT, IWCLUL</w:t>
            </w:r>
          </w:p>
        </w:tc>
        <w:tc>
          <w:tcPr>
            <w:tcW w:type="dxa" w:w="3888"/>
          </w:tcPr>
          <w:p>
            <w:pPr>
              <w:spacing w:after="40" w:line="240" w:lineRule="auto"/>
            </w:pPr>
            <w:r/>
            <w:r>
              <w:rPr>
                <w:rFonts w:ascii="Times New Roman" w:hAnsi="Times New Roman"/>
                <w:b w:val="0"/>
                <w:i w:val="0"/>
                <w:sz w:val="18"/>
              </w:rPr>
              <w:t>ACL 2024.iwclul-1.4</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17</w:t>
            </w:r>
          </w:p>
        </w:tc>
        <w:tc>
          <w:tcPr>
            <w:tcW w:type="dxa" w:w="4752"/>
          </w:tcPr>
          <w:p>
            <w:pPr>
              <w:spacing w:after="40" w:line="240" w:lineRule="auto"/>
            </w:pPr>
            <w:r/>
            <w:r>
              <w:rPr>
                <w:rFonts w:ascii="Times New Roman" w:hAnsi="Times New Roman"/>
                <w:b w:val="0"/>
                <w:i w:val="0"/>
                <w:sz w:val="18"/>
              </w:rPr>
              <w:t>Haug &amp; Jøhndal (2008), PROIEL, LaTeCH 2008</w:t>
            </w:r>
          </w:p>
        </w:tc>
        <w:tc>
          <w:tcPr>
            <w:tcW w:type="dxa" w:w="3888"/>
          </w:tcPr>
          <w:p>
            <w:pPr>
              <w:spacing w:after="40" w:line="240" w:lineRule="auto"/>
            </w:pPr>
            <w:r/>
            <w:r>
              <w:rPr>
                <w:rFonts w:ascii="Times New Roman" w:hAnsi="Times New Roman"/>
                <w:b w:val="0"/>
                <w:i w:val="0"/>
                <w:sz w:val="18"/>
              </w:rPr>
              <w:t>PROIEL repo; ELRA LaTeCH 2008 proceedings</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18</w:t>
            </w:r>
          </w:p>
        </w:tc>
        <w:tc>
          <w:tcPr>
            <w:tcW w:type="dxa" w:w="4752"/>
          </w:tcPr>
          <w:p>
            <w:pPr>
              <w:spacing w:after="40" w:line="240" w:lineRule="auto"/>
            </w:pPr>
            <w:r/>
            <w:r>
              <w:rPr>
                <w:rFonts w:ascii="Times New Roman" w:hAnsi="Times New Roman"/>
                <w:b w:val="0"/>
                <w:i w:val="0"/>
                <w:sz w:val="18"/>
              </w:rPr>
              <w:t>Holmes (1998), Lit. &amp; Ling. Computing 13(3)</w:t>
            </w:r>
          </w:p>
        </w:tc>
        <w:tc>
          <w:tcPr>
            <w:tcW w:type="dxa" w:w="3888"/>
          </w:tcPr>
          <w:p>
            <w:pPr>
              <w:spacing w:after="40" w:line="240" w:lineRule="auto"/>
            </w:pPr>
            <w:r/>
            <w:r>
              <w:rPr>
                <w:rFonts w:ascii="Times New Roman" w:hAnsi="Times New Roman"/>
                <w:b w:val="0"/>
                <w:i w:val="0"/>
                <w:sz w:val="18"/>
              </w:rPr>
              <w:t>DOI 10.1093/llc/13.3.111</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19</w:t>
            </w:r>
          </w:p>
        </w:tc>
        <w:tc>
          <w:tcPr>
            <w:tcW w:type="dxa" w:w="4752"/>
          </w:tcPr>
          <w:p>
            <w:pPr>
              <w:spacing w:after="40" w:line="240" w:lineRule="auto"/>
            </w:pPr>
            <w:r/>
            <w:r>
              <w:rPr>
                <w:rFonts w:ascii="Times New Roman" w:hAnsi="Times New Roman"/>
                <w:b w:val="0"/>
                <w:i w:val="0"/>
                <w:sz w:val="18"/>
              </w:rPr>
              <w:t>Ippolito et al. (2020), ACL</w:t>
            </w:r>
          </w:p>
        </w:tc>
        <w:tc>
          <w:tcPr>
            <w:tcW w:type="dxa" w:w="3888"/>
          </w:tcPr>
          <w:p>
            <w:pPr>
              <w:spacing w:after="40" w:line="240" w:lineRule="auto"/>
            </w:pPr>
            <w:r/>
            <w:r>
              <w:rPr>
                <w:rFonts w:ascii="Times New Roman" w:hAnsi="Times New Roman"/>
                <w:b w:val="0"/>
                <w:i w:val="0"/>
                <w:sz w:val="18"/>
              </w:rPr>
              <w:t>DOI 10.18653/v1/2020.acl-main.164</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20</w:t>
            </w:r>
          </w:p>
        </w:tc>
        <w:tc>
          <w:tcPr>
            <w:tcW w:type="dxa" w:w="4752"/>
          </w:tcPr>
          <w:p>
            <w:pPr>
              <w:spacing w:after="40" w:line="240" w:lineRule="auto"/>
            </w:pPr>
            <w:r/>
            <w:r>
              <w:rPr>
                <w:rFonts w:ascii="Times New Roman" w:hAnsi="Times New Roman"/>
                <w:b w:val="0"/>
                <w:i w:val="0"/>
                <w:sz w:val="18"/>
              </w:rPr>
              <w:t>Jawahar et al. (2020), COLING</w:t>
            </w:r>
          </w:p>
        </w:tc>
        <w:tc>
          <w:tcPr>
            <w:tcW w:type="dxa" w:w="3888"/>
          </w:tcPr>
          <w:p>
            <w:pPr>
              <w:spacing w:after="40" w:line="240" w:lineRule="auto"/>
            </w:pPr>
            <w:r/>
            <w:r>
              <w:rPr>
                <w:rFonts w:ascii="Times New Roman" w:hAnsi="Times New Roman"/>
                <w:b w:val="0"/>
                <w:i w:val="0"/>
                <w:sz w:val="18"/>
              </w:rPr>
              <w:t>DOI 10.18653/v1/2020.coling-main.208</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21</w:t>
            </w:r>
          </w:p>
        </w:tc>
        <w:tc>
          <w:tcPr>
            <w:tcW w:type="dxa" w:w="4752"/>
          </w:tcPr>
          <w:p>
            <w:pPr>
              <w:spacing w:after="40" w:line="240" w:lineRule="auto"/>
            </w:pPr>
            <w:r/>
            <w:r>
              <w:rPr>
                <w:rFonts w:ascii="Times New Roman" w:hAnsi="Times New Roman"/>
                <w:b w:val="0"/>
                <w:i w:val="0"/>
                <w:sz w:val="18"/>
              </w:rPr>
              <w:t>Johnson et al. (2021), CLTK, ACL demos</w:t>
            </w:r>
          </w:p>
        </w:tc>
        <w:tc>
          <w:tcPr>
            <w:tcW w:type="dxa" w:w="3888"/>
          </w:tcPr>
          <w:p>
            <w:pPr>
              <w:spacing w:after="40" w:line="240" w:lineRule="auto"/>
            </w:pPr>
            <w:r/>
            <w:r>
              <w:rPr>
                <w:rFonts w:ascii="Times New Roman" w:hAnsi="Times New Roman"/>
                <w:b w:val="0"/>
                <w:i w:val="0"/>
                <w:sz w:val="18"/>
              </w:rPr>
              <w:t>DOI 10.18653/v1/2021.acl-demo.3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22</w:t>
            </w:r>
          </w:p>
        </w:tc>
        <w:tc>
          <w:tcPr>
            <w:tcW w:type="dxa" w:w="4752"/>
          </w:tcPr>
          <w:p>
            <w:pPr>
              <w:spacing w:after="40" w:line="240" w:lineRule="auto"/>
            </w:pPr>
            <w:r/>
            <w:r>
              <w:rPr>
                <w:rFonts w:ascii="Times New Roman" w:hAnsi="Times New Roman"/>
                <w:b w:val="0"/>
                <w:i w:val="0"/>
                <w:sz w:val="18"/>
              </w:rPr>
              <w:t>Juola (2006), Found. &amp; Trends IR 1(3)</w:t>
            </w:r>
          </w:p>
        </w:tc>
        <w:tc>
          <w:tcPr>
            <w:tcW w:type="dxa" w:w="3888"/>
          </w:tcPr>
          <w:p>
            <w:pPr>
              <w:spacing w:after="40" w:line="240" w:lineRule="auto"/>
            </w:pPr>
            <w:r/>
            <w:r>
              <w:rPr>
                <w:rFonts w:ascii="Times New Roman" w:hAnsi="Times New Roman"/>
                <w:b w:val="0"/>
                <w:i w:val="0"/>
                <w:sz w:val="18"/>
              </w:rPr>
              <w:t>DOI 10.1561/1500000005</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23</w:t>
            </w:r>
          </w:p>
        </w:tc>
        <w:tc>
          <w:tcPr>
            <w:tcW w:type="dxa" w:w="4752"/>
          </w:tcPr>
          <w:p>
            <w:pPr>
              <w:spacing w:after="40" w:line="240" w:lineRule="auto"/>
            </w:pPr>
            <w:r/>
            <w:r>
              <w:rPr>
                <w:rFonts w:ascii="Times New Roman" w:hAnsi="Times New Roman"/>
                <w:b w:val="0"/>
                <w:i w:val="0"/>
                <w:sz w:val="18"/>
              </w:rPr>
              <w:t>Juola, Mikros &amp; Vinsick (2019), JASIST 70(1)</w:t>
            </w:r>
          </w:p>
        </w:tc>
        <w:tc>
          <w:tcPr>
            <w:tcW w:type="dxa" w:w="3888"/>
          </w:tcPr>
          <w:p>
            <w:pPr>
              <w:spacing w:after="40" w:line="240" w:lineRule="auto"/>
            </w:pPr>
            <w:r/>
            <w:r>
              <w:rPr>
                <w:rFonts w:ascii="Times New Roman" w:hAnsi="Times New Roman"/>
                <w:b w:val="0"/>
                <w:i w:val="0"/>
                <w:sz w:val="18"/>
              </w:rPr>
              <w:t>DOI 10.1002/asi.24073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24</w:t>
            </w:r>
          </w:p>
        </w:tc>
        <w:tc>
          <w:tcPr>
            <w:tcW w:type="dxa" w:w="4752"/>
          </w:tcPr>
          <w:p>
            <w:pPr>
              <w:spacing w:after="40" w:line="240" w:lineRule="auto"/>
            </w:pPr>
            <w:r/>
            <w:r>
              <w:rPr>
                <w:rFonts w:ascii="Times New Roman" w:hAnsi="Times New Roman"/>
                <w:b w:val="0"/>
                <w:i w:val="0"/>
                <w:sz w:val="18"/>
              </w:rPr>
              <w:t>Keersmaekers (2021), GLAUx, LChange</w:t>
            </w:r>
          </w:p>
        </w:tc>
        <w:tc>
          <w:tcPr>
            <w:tcW w:type="dxa" w:w="3888"/>
          </w:tcPr>
          <w:p>
            <w:pPr>
              <w:spacing w:after="40" w:line="240" w:lineRule="auto"/>
            </w:pPr>
            <w:r/>
            <w:r>
              <w:rPr>
                <w:rFonts w:ascii="Times New Roman" w:hAnsi="Times New Roman"/>
                <w:b w:val="0"/>
                <w:i w:val="0"/>
                <w:sz w:val="18"/>
              </w:rPr>
              <w:t>DOI 10.18653/v1/2021.lchange-1.6</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25</w:t>
            </w:r>
          </w:p>
        </w:tc>
        <w:tc>
          <w:tcPr>
            <w:tcW w:type="dxa" w:w="4752"/>
          </w:tcPr>
          <w:p>
            <w:pPr>
              <w:spacing w:after="40" w:line="240" w:lineRule="auto"/>
            </w:pPr>
            <w:r/>
            <w:r>
              <w:rPr>
                <w:rFonts w:ascii="Times New Roman" w:hAnsi="Times New Roman"/>
                <w:b w:val="0"/>
                <w:i w:val="0"/>
                <w:sz w:val="18"/>
              </w:rPr>
              <w:t>Keersmaekers &amp; Mercelis (2024), ML4AL</w:t>
            </w:r>
          </w:p>
        </w:tc>
        <w:tc>
          <w:tcPr>
            <w:tcW w:type="dxa" w:w="3888"/>
          </w:tcPr>
          <w:p>
            <w:pPr>
              <w:spacing w:after="40" w:line="240" w:lineRule="auto"/>
            </w:pPr>
            <w:r/>
            <w:r>
              <w:rPr>
                <w:rFonts w:ascii="Times New Roman" w:hAnsi="Times New Roman"/>
                <w:b w:val="0"/>
                <w:i w:val="0"/>
                <w:sz w:val="18"/>
              </w:rPr>
              <w:t>DOI 10.18653/v1/2024.ml4al-1.17</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26</w:t>
            </w:r>
          </w:p>
        </w:tc>
        <w:tc>
          <w:tcPr>
            <w:tcW w:type="dxa" w:w="4752"/>
          </w:tcPr>
          <w:p>
            <w:pPr>
              <w:spacing w:after="40" w:line="240" w:lineRule="auto"/>
            </w:pPr>
            <w:r/>
            <w:r>
              <w:rPr>
                <w:rFonts w:ascii="Times New Roman" w:hAnsi="Times New Roman"/>
                <w:b w:val="0"/>
                <w:i w:val="0"/>
                <w:sz w:val="18"/>
              </w:rPr>
              <w:t>Keersmaekers et al. (2019), Pedalion, SyntaxFest</w:t>
            </w:r>
          </w:p>
        </w:tc>
        <w:tc>
          <w:tcPr>
            <w:tcW w:type="dxa" w:w="3888"/>
          </w:tcPr>
          <w:p>
            <w:pPr>
              <w:spacing w:after="40" w:line="240" w:lineRule="auto"/>
            </w:pPr>
            <w:r/>
            <w:r>
              <w:rPr>
                <w:rFonts w:ascii="Times New Roman" w:hAnsi="Times New Roman"/>
                <w:b w:val="0"/>
                <w:i w:val="0"/>
                <w:sz w:val="18"/>
              </w:rPr>
              <w:t>DOI 10.18653/v1/W19-7812</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27</w:t>
            </w:r>
          </w:p>
        </w:tc>
        <w:tc>
          <w:tcPr>
            <w:tcW w:type="dxa" w:w="4752"/>
          </w:tcPr>
          <w:p>
            <w:pPr>
              <w:spacing w:after="40" w:line="240" w:lineRule="auto"/>
            </w:pPr>
            <w:r/>
            <w:r>
              <w:rPr>
                <w:rFonts w:ascii="Times New Roman" w:hAnsi="Times New Roman"/>
                <w:b w:val="0"/>
                <w:i w:val="0"/>
                <w:sz w:val="18"/>
              </w:rPr>
              <w:t>Kestemont et al. (2016), Caesar, ESWA 63</w:t>
            </w:r>
          </w:p>
        </w:tc>
        <w:tc>
          <w:tcPr>
            <w:tcW w:type="dxa" w:w="3888"/>
          </w:tcPr>
          <w:p>
            <w:pPr>
              <w:spacing w:after="40" w:line="240" w:lineRule="auto"/>
            </w:pPr>
            <w:r/>
            <w:r>
              <w:rPr>
                <w:rFonts w:ascii="Times New Roman" w:hAnsi="Times New Roman"/>
                <w:b w:val="0"/>
                <w:i w:val="0"/>
                <w:sz w:val="18"/>
              </w:rPr>
              <w:t>DOI 10.1016/j.eswa.2016.06.029</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28</w:t>
            </w:r>
          </w:p>
        </w:tc>
        <w:tc>
          <w:tcPr>
            <w:tcW w:type="dxa" w:w="4752"/>
          </w:tcPr>
          <w:p>
            <w:pPr>
              <w:spacing w:after="40" w:line="240" w:lineRule="auto"/>
            </w:pPr>
            <w:r/>
            <w:r>
              <w:rPr>
                <w:rFonts w:ascii="Times New Roman" w:hAnsi="Times New Roman"/>
                <w:b w:val="0"/>
                <w:i w:val="0"/>
                <w:sz w:val="18"/>
              </w:rPr>
              <w:t>Kirchenbauer et al. (2023), Watermark, ICML</w:t>
            </w:r>
          </w:p>
        </w:tc>
        <w:tc>
          <w:tcPr>
            <w:tcW w:type="dxa" w:w="3888"/>
          </w:tcPr>
          <w:p>
            <w:pPr>
              <w:spacing w:after="40" w:line="240" w:lineRule="auto"/>
            </w:pPr>
            <w:r/>
            <w:r>
              <w:rPr>
                <w:rFonts w:ascii="Times New Roman" w:hAnsi="Times New Roman"/>
                <w:b w:val="0"/>
                <w:i w:val="0"/>
                <w:sz w:val="18"/>
              </w:rPr>
              <w:t>PMLR v202 (proceedings.mlr.press)</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29</w:t>
            </w:r>
          </w:p>
        </w:tc>
        <w:tc>
          <w:tcPr>
            <w:tcW w:type="dxa" w:w="4752"/>
          </w:tcPr>
          <w:p>
            <w:pPr>
              <w:spacing w:after="40" w:line="240" w:lineRule="auto"/>
            </w:pPr>
            <w:r/>
            <w:r>
              <w:rPr>
                <w:rFonts w:ascii="Times New Roman" w:hAnsi="Times New Roman"/>
                <w:b w:val="0"/>
                <w:i w:val="0"/>
                <w:sz w:val="18"/>
              </w:rPr>
              <w:t>Koppel et al. (2009), JASIST 60(1)</w:t>
            </w:r>
          </w:p>
        </w:tc>
        <w:tc>
          <w:tcPr>
            <w:tcW w:type="dxa" w:w="3888"/>
          </w:tcPr>
          <w:p>
            <w:pPr>
              <w:spacing w:after="40" w:line="240" w:lineRule="auto"/>
            </w:pPr>
            <w:r/>
            <w:r>
              <w:rPr>
                <w:rFonts w:ascii="Times New Roman" w:hAnsi="Times New Roman"/>
                <w:b w:val="0"/>
                <w:i w:val="0"/>
                <w:sz w:val="18"/>
              </w:rPr>
              <w:t>DOI 10.1002/asi.20961</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30</w:t>
            </w:r>
          </w:p>
        </w:tc>
        <w:tc>
          <w:tcPr>
            <w:tcW w:type="dxa" w:w="4752"/>
          </w:tcPr>
          <w:p>
            <w:pPr>
              <w:spacing w:after="40" w:line="240" w:lineRule="auto"/>
            </w:pPr>
            <w:r/>
            <w:r>
              <w:rPr>
                <w:rFonts w:ascii="Times New Roman" w:hAnsi="Times New Roman"/>
                <w:b w:val="0"/>
                <w:i w:val="0"/>
                <w:sz w:val="18"/>
              </w:rPr>
              <w:t>Manousakis (2020), Prometheus Bound (De Gruyter)</w:t>
            </w:r>
          </w:p>
        </w:tc>
        <w:tc>
          <w:tcPr>
            <w:tcW w:type="dxa" w:w="3888"/>
          </w:tcPr>
          <w:p>
            <w:pPr>
              <w:spacing w:after="40" w:line="240" w:lineRule="auto"/>
            </w:pPr>
            <w:r/>
            <w:r>
              <w:rPr>
                <w:rFonts w:ascii="Times New Roman" w:hAnsi="Times New Roman"/>
                <w:b w:val="0"/>
                <w:i w:val="0"/>
                <w:sz w:val="18"/>
              </w:rPr>
              <w:t>DOI 10.1515/9783110687675; BMCR review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31</w:t>
            </w:r>
          </w:p>
        </w:tc>
        <w:tc>
          <w:tcPr>
            <w:tcW w:type="dxa" w:w="4752"/>
          </w:tcPr>
          <w:p>
            <w:pPr>
              <w:spacing w:after="40" w:line="240" w:lineRule="auto"/>
            </w:pPr>
            <w:r/>
            <w:r>
              <w:rPr>
                <w:rFonts w:ascii="Times New Roman" w:hAnsi="Times New Roman"/>
                <w:b w:val="0"/>
                <w:i w:val="0"/>
                <w:sz w:val="18"/>
              </w:rPr>
              <w:t>Michaelson &amp; Morton (1972), Classical Quarterly 22(1)</w:t>
            </w:r>
          </w:p>
        </w:tc>
        <w:tc>
          <w:tcPr>
            <w:tcW w:type="dxa" w:w="3888"/>
          </w:tcPr>
          <w:p>
            <w:pPr>
              <w:spacing w:after="40" w:line="240" w:lineRule="auto"/>
            </w:pPr>
            <w:r/>
            <w:r>
              <w:rPr>
                <w:rFonts w:ascii="Times New Roman" w:hAnsi="Times New Roman"/>
                <w:b w:val="0"/>
                <w:i w:val="0"/>
                <w:sz w:val="18"/>
              </w:rPr>
              <w:t>DOI 10.1017/S0009838800034054 (Cambridge)</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32</w:t>
            </w:r>
          </w:p>
        </w:tc>
        <w:tc>
          <w:tcPr>
            <w:tcW w:type="dxa" w:w="4752"/>
          </w:tcPr>
          <w:p>
            <w:pPr>
              <w:spacing w:after="40" w:line="240" w:lineRule="auto"/>
            </w:pPr>
            <w:r/>
            <w:r>
              <w:rPr>
                <w:rFonts w:ascii="Times New Roman" w:hAnsi="Times New Roman"/>
                <w:b w:val="0"/>
                <w:i w:val="0"/>
                <w:sz w:val="18"/>
              </w:rPr>
              <w:t>Mikros (2025a), GPT-4o imitation, DSH 40(2)</w:t>
            </w:r>
          </w:p>
        </w:tc>
        <w:tc>
          <w:tcPr>
            <w:tcW w:type="dxa" w:w="3888"/>
          </w:tcPr>
          <w:p>
            <w:pPr>
              <w:spacing w:after="40" w:line="240" w:lineRule="auto"/>
            </w:pPr>
            <w:r/>
            <w:r>
              <w:rPr>
                <w:rFonts w:ascii="Times New Roman" w:hAnsi="Times New Roman"/>
                <w:b w:val="0"/>
                <w:i w:val="0"/>
                <w:sz w:val="18"/>
              </w:rPr>
              <w:t>DOI 10.1093/llc/fqaf035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33</w:t>
            </w:r>
          </w:p>
        </w:tc>
        <w:tc>
          <w:tcPr>
            <w:tcW w:type="dxa" w:w="4752"/>
          </w:tcPr>
          <w:p>
            <w:pPr>
              <w:spacing w:after="40" w:line="240" w:lineRule="auto"/>
            </w:pPr>
            <w:r/>
            <w:r>
              <w:rPr>
                <w:rFonts w:ascii="Times New Roman" w:hAnsi="Times New Roman"/>
                <w:b w:val="0"/>
                <w:i w:val="0"/>
                <w:sz w:val="18"/>
              </w:rPr>
              <w:t>Mikros (2025b), LLMs &amp; forensic linguistics</w:t>
            </w:r>
          </w:p>
        </w:tc>
        <w:tc>
          <w:tcPr>
            <w:tcW w:type="dxa" w:w="3888"/>
          </w:tcPr>
          <w:p>
            <w:pPr>
              <w:spacing w:after="40" w:line="240" w:lineRule="auto"/>
            </w:pPr>
            <w:r/>
            <w:r>
              <w:rPr>
                <w:rFonts w:ascii="Times New Roman" w:hAnsi="Times New Roman"/>
                <w:b w:val="0"/>
                <w:i w:val="0"/>
                <w:sz w:val="18"/>
              </w:rPr>
              <w:t>arXiv:2512.06922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34</w:t>
            </w:r>
          </w:p>
        </w:tc>
        <w:tc>
          <w:tcPr>
            <w:tcW w:type="dxa" w:w="4752"/>
          </w:tcPr>
          <w:p>
            <w:pPr>
              <w:spacing w:after="40" w:line="240" w:lineRule="auto"/>
            </w:pPr>
            <w:r/>
            <w:r>
              <w:rPr>
                <w:rFonts w:ascii="Times New Roman" w:hAnsi="Times New Roman"/>
                <w:b w:val="0"/>
                <w:i w:val="0"/>
                <w:sz w:val="18"/>
              </w:rPr>
              <w:t>Mikros et al. (2023), AI-writing detection, IberLEF</w:t>
            </w:r>
          </w:p>
        </w:tc>
        <w:tc>
          <w:tcPr>
            <w:tcW w:type="dxa" w:w="3888"/>
          </w:tcPr>
          <w:p>
            <w:pPr>
              <w:spacing w:after="40" w:line="240" w:lineRule="auto"/>
            </w:pPr>
            <w:r/>
            <w:r>
              <w:rPr>
                <w:rFonts w:ascii="Times New Roman" w:hAnsi="Times New Roman"/>
                <w:b w:val="0"/>
                <w:i w:val="0"/>
                <w:sz w:val="18"/>
              </w:rPr>
              <w:t>CEUR Vol-3496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35</w:t>
            </w:r>
          </w:p>
        </w:tc>
        <w:tc>
          <w:tcPr>
            <w:tcW w:type="dxa" w:w="4752"/>
          </w:tcPr>
          <w:p>
            <w:pPr>
              <w:spacing w:after="40" w:line="240" w:lineRule="auto"/>
            </w:pPr>
            <w:r/>
            <w:r>
              <w:rPr>
                <w:rFonts w:ascii="Times New Roman" w:hAnsi="Times New Roman"/>
                <w:b w:val="0"/>
                <w:i w:val="0"/>
                <w:sz w:val="18"/>
              </w:rPr>
              <w:t>Mikros &amp; Perifanos (2013), Greek tweets, AAAI</w:t>
            </w:r>
          </w:p>
        </w:tc>
        <w:tc>
          <w:tcPr>
            <w:tcW w:type="dxa" w:w="3888"/>
          </w:tcPr>
          <w:p>
            <w:pPr>
              <w:spacing w:after="40" w:line="240" w:lineRule="auto"/>
            </w:pPr>
            <w:r/>
            <w:r>
              <w:rPr>
                <w:rFonts w:ascii="Times New Roman" w:hAnsi="Times New Roman"/>
                <w:b w:val="0"/>
                <w:i w:val="0"/>
                <w:sz w:val="18"/>
              </w:rPr>
              <w:t>AAAI SS-13-01 landing page</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36</w:t>
            </w:r>
          </w:p>
        </w:tc>
        <w:tc>
          <w:tcPr>
            <w:tcW w:type="dxa" w:w="4752"/>
          </w:tcPr>
          <w:p>
            <w:pPr>
              <w:spacing w:after="40" w:line="240" w:lineRule="auto"/>
            </w:pPr>
            <w:r/>
            <w:r>
              <w:rPr>
                <w:rFonts w:ascii="Times New Roman" w:hAnsi="Times New Roman"/>
                <w:b w:val="0"/>
                <w:i w:val="0"/>
                <w:sz w:val="18"/>
              </w:rPr>
              <w:t>Mireshghallah et al. (2024), EACL short</w:t>
            </w:r>
          </w:p>
        </w:tc>
        <w:tc>
          <w:tcPr>
            <w:tcW w:type="dxa" w:w="3888"/>
          </w:tcPr>
          <w:p>
            <w:pPr>
              <w:spacing w:after="40" w:line="240" w:lineRule="auto"/>
            </w:pPr>
            <w:r/>
            <w:r>
              <w:rPr>
                <w:rFonts w:ascii="Times New Roman" w:hAnsi="Times New Roman"/>
                <w:b w:val="0"/>
                <w:i w:val="0"/>
                <w:sz w:val="18"/>
              </w:rPr>
              <w:t>DOI 10.18653/v1/2024.eacl-short.25</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37</w:t>
            </w:r>
          </w:p>
        </w:tc>
        <w:tc>
          <w:tcPr>
            <w:tcW w:type="dxa" w:w="4752"/>
          </w:tcPr>
          <w:p>
            <w:pPr>
              <w:spacing w:after="40" w:line="240" w:lineRule="auto"/>
            </w:pPr>
            <w:r/>
            <w:r>
              <w:rPr>
                <w:rFonts w:ascii="Times New Roman" w:hAnsi="Times New Roman"/>
                <w:b w:val="0"/>
                <w:i w:val="0"/>
                <w:sz w:val="18"/>
              </w:rPr>
              <w:t>Mitchell et al. (2023), DetectGPT, ICML</w:t>
            </w:r>
          </w:p>
        </w:tc>
        <w:tc>
          <w:tcPr>
            <w:tcW w:type="dxa" w:w="3888"/>
          </w:tcPr>
          <w:p>
            <w:pPr>
              <w:spacing w:after="40" w:line="240" w:lineRule="auto"/>
            </w:pPr>
            <w:r/>
            <w:r>
              <w:rPr>
                <w:rFonts w:ascii="Times New Roman" w:hAnsi="Times New Roman"/>
                <w:b w:val="0"/>
                <w:i w:val="0"/>
                <w:sz w:val="18"/>
              </w:rPr>
              <w:t>PMLR v202 (proceedings.mlr.press)</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38</w:t>
            </w:r>
          </w:p>
        </w:tc>
        <w:tc>
          <w:tcPr>
            <w:tcW w:type="dxa" w:w="4752"/>
          </w:tcPr>
          <w:p>
            <w:pPr>
              <w:spacing w:after="40" w:line="240" w:lineRule="auto"/>
            </w:pPr>
            <w:r/>
            <w:r>
              <w:rPr>
                <w:rFonts w:ascii="Times New Roman" w:hAnsi="Times New Roman"/>
                <w:b w:val="0"/>
                <w:i w:val="0"/>
                <w:sz w:val="18"/>
              </w:rPr>
              <w:t>Pavlopoulos &amp; Konstantinidou (2023), IJDH 5(1)</w:t>
            </w:r>
          </w:p>
        </w:tc>
        <w:tc>
          <w:tcPr>
            <w:tcW w:type="dxa" w:w="3888"/>
          </w:tcPr>
          <w:p>
            <w:pPr>
              <w:spacing w:after="40" w:line="240" w:lineRule="auto"/>
            </w:pPr>
            <w:r/>
            <w:r>
              <w:rPr>
                <w:rFonts w:ascii="Times New Roman" w:hAnsi="Times New Roman"/>
                <w:b w:val="0"/>
                <w:i w:val="0"/>
                <w:sz w:val="18"/>
              </w:rPr>
              <w:t>DOI 10.1007/s42803-022-00046-7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39</w:t>
            </w:r>
          </w:p>
        </w:tc>
        <w:tc>
          <w:tcPr>
            <w:tcW w:type="dxa" w:w="4752"/>
          </w:tcPr>
          <w:p>
            <w:pPr>
              <w:spacing w:after="40" w:line="240" w:lineRule="auto"/>
            </w:pPr>
            <w:r/>
            <w:r>
              <w:rPr>
                <w:rFonts w:ascii="Times New Roman" w:hAnsi="Times New Roman"/>
                <w:b w:val="0"/>
                <w:i w:val="0"/>
                <w:sz w:val="18"/>
              </w:rPr>
              <w:t>Qi et al. (2020), Stanza, ACL demos</w:t>
            </w:r>
          </w:p>
        </w:tc>
        <w:tc>
          <w:tcPr>
            <w:tcW w:type="dxa" w:w="3888"/>
          </w:tcPr>
          <w:p>
            <w:pPr>
              <w:spacing w:after="40" w:line="240" w:lineRule="auto"/>
            </w:pPr>
            <w:r/>
            <w:r>
              <w:rPr>
                <w:rFonts w:ascii="Times New Roman" w:hAnsi="Times New Roman"/>
                <w:b w:val="0"/>
                <w:i w:val="0"/>
                <w:sz w:val="18"/>
              </w:rPr>
              <w:t>DOI 10.18653/v1/2020.acl-demos.14</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40</w:t>
            </w:r>
          </w:p>
        </w:tc>
        <w:tc>
          <w:tcPr>
            <w:tcW w:type="dxa" w:w="4752"/>
          </w:tcPr>
          <w:p>
            <w:pPr>
              <w:spacing w:after="40" w:line="240" w:lineRule="auto"/>
            </w:pPr>
            <w:r/>
            <w:r>
              <w:rPr>
                <w:rFonts w:ascii="Times New Roman" w:hAnsi="Times New Roman"/>
                <w:b w:val="0"/>
                <w:i w:val="0"/>
                <w:sz w:val="18"/>
              </w:rPr>
              <w:t>Riemenschneider &amp; Frank (2023a), ACL long</w:t>
            </w:r>
          </w:p>
        </w:tc>
        <w:tc>
          <w:tcPr>
            <w:tcW w:type="dxa" w:w="3888"/>
          </w:tcPr>
          <w:p>
            <w:pPr>
              <w:spacing w:after="40" w:line="240" w:lineRule="auto"/>
            </w:pPr>
            <w:r/>
            <w:r>
              <w:rPr>
                <w:rFonts w:ascii="Times New Roman" w:hAnsi="Times New Roman"/>
                <w:b w:val="0"/>
                <w:i w:val="0"/>
                <w:sz w:val="18"/>
              </w:rPr>
              <w:t>DOI 10.18653/v1/2023.acl-long.846</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41</w:t>
            </w:r>
          </w:p>
        </w:tc>
        <w:tc>
          <w:tcPr>
            <w:tcW w:type="dxa" w:w="4752"/>
          </w:tcPr>
          <w:p>
            <w:pPr>
              <w:spacing w:after="40" w:line="240" w:lineRule="auto"/>
            </w:pPr>
            <w:r/>
            <w:r>
              <w:rPr>
                <w:rFonts w:ascii="Times New Roman" w:hAnsi="Times New Roman"/>
                <w:b w:val="0"/>
                <w:i w:val="0"/>
                <w:sz w:val="18"/>
              </w:rPr>
              <w:t>Riemenschneider &amp; Frank (2023b), ALP workshop</w:t>
            </w:r>
          </w:p>
        </w:tc>
        <w:tc>
          <w:tcPr>
            <w:tcW w:type="dxa" w:w="3888"/>
          </w:tcPr>
          <w:p>
            <w:pPr>
              <w:spacing w:after="40" w:line="240" w:lineRule="auto"/>
            </w:pPr>
            <w:r/>
            <w:r>
              <w:rPr>
                <w:rFonts w:ascii="Times New Roman" w:hAnsi="Times New Roman"/>
                <w:b w:val="0"/>
                <w:i w:val="0"/>
                <w:sz w:val="18"/>
              </w:rPr>
              <w:t>ACL 2023.alp-1.4; arXiv:2308.12008</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42</w:t>
            </w:r>
          </w:p>
        </w:tc>
        <w:tc>
          <w:tcPr>
            <w:tcW w:type="dxa" w:w="4752"/>
          </w:tcPr>
          <w:p>
            <w:pPr>
              <w:spacing w:after="40" w:line="240" w:lineRule="auto"/>
            </w:pPr>
            <w:r/>
            <w:r>
              <w:rPr>
                <w:rFonts w:ascii="Times New Roman" w:hAnsi="Times New Roman"/>
                <w:b w:val="0"/>
                <w:i w:val="0"/>
                <w:sz w:val="18"/>
              </w:rPr>
              <w:t>Sadasivan et al. (2023), detectability limits</w:t>
            </w:r>
          </w:p>
        </w:tc>
        <w:tc>
          <w:tcPr>
            <w:tcW w:type="dxa" w:w="3888"/>
          </w:tcPr>
          <w:p>
            <w:pPr>
              <w:spacing w:after="40" w:line="240" w:lineRule="auto"/>
            </w:pPr>
            <w:r/>
            <w:r>
              <w:rPr>
                <w:rFonts w:ascii="Times New Roman" w:hAnsi="Times New Roman"/>
                <w:b w:val="0"/>
                <w:i w:val="0"/>
                <w:sz w:val="18"/>
              </w:rPr>
              <w:t>arXiv:2303.11156</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43</w:t>
            </w:r>
          </w:p>
        </w:tc>
        <w:tc>
          <w:tcPr>
            <w:tcW w:type="dxa" w:w="4752"/>
          </w:tcPr>
          <w:p>
            <w:pPr>
              <w:spacing w:after="40" w:line="240" w:lineRule="auto"/>
            </w:pPr>
            <w:r/>
            <w:r>
              <w:rPr>
                <w:rFonts w:ascii="Times New Roman" w:hAnsi="Times New Roman"/>
                <w:b w:val="0"/>
                <w:i w:val="0"/>
                <w:sz w:val="18"/>
              </w:rPr>
              <w:t>Singh et al. (2021), Ancient-Greek-BERT, LaTeCH-CLfL</w:t>
            </w:r>
          </w:p>
        </w:tc>
        <w:tc>
          <w:tcPr>
            <w:tcW w:type="dxa" w:w="3888"/>
          </w:tcPr>
          <w:p>
            <w:pPr>
              <w:spacing w:after="40" w:line="240" w:lineRule="auto"/>
            </w:pPr>
            <w:r/>
            <w:r>
              <w:rPr>
                <w:rFonts w:ascii="Times New Roman" w:hAnsi="Times New Roman"/>
                <w:b w:val="0"/>
                <w:i w:val="0"/>
                <w:sz w:val="18"/>
              </w:rPr>
              <w:t>DOI 10.18653/v1/2021.latechclfl-1.15</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44</w:t>
            </w:r>
          </w:p>
        </w:tc>
        <w:tc>
          <w:tcPr>
            <w:tcW w:type="dxa" w:w="4752"/>
          </w:tcPr>
          <w:p>
            <w:pPr>
              <w:spacing w:after="40" w:line="240" w:lineRule="auto"/>
            </w:pPr>
            <w:r/>
            <w:r>
              <w:rPr>
                <w:rFonts w:ascii="Times New Roman" w:hAnsi="Times New Roman"/>
                <w:b w:val="0"/>
                <w:i w:val="0"/>
                <w:sz w:val="18"/>
              </w:rPr>
              <w:t>Solaiman et al. (2019), GPT-2 release</w:t>
            </w:r>
          </w:p>
        </w:tc>
        <w:tc>
          <w:tcPr>
            <w:tcW w:type="dxa" w:w="3888"/>
          </w:tcPr>
          <w:p>
            <w:pPr>
              <w:spacing w:after="40" w:line="240" w:lineRule="auto"/>
            </w:pPr>
            <w:r/>
            <w:r>
              <w:rPr>
                <w:rFonts w:ascii="Times New Roman" w:hAnsi="Times New Roman"/>
                <w:b w:val="0"/>
                <w:i w:val="0"/>
                <w:sz w:val="18"/>
              </w:rPr>
              <w:t>arXiv:1908.09203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45</w:t>
            </w:r>
          </w:p>
        </w:tc>
        <w:tc>
          <w:tcPr>
            <w:tcW w:type="dxa" w:w="4752"/>
          </w:tcPr>
          <w:p>
            <w:pPr>
              <w:spacing w:after="40" w:line="240" w:lineRule="auto"/>
            </w:pPr>
            <w:r/>
            <w:r>
              <w:rPr>
                <w:rFonts w:ascii="Times New Roman" w:hAnsi="Times New Roman"/>
                <w:b w:val="0"/>
                <w:i w:val="0"/>
                <w:sz w:val="18"/>
              </w:rPr>
              <w:t>Stamatatos (2009), JASIST 60(3)</w:t>
            </w:r>
          </w:p>
        </w:tc>
        <w:tc>
          <w:tcPr>
            <w:tcW w:type="dxa" w:w="3888"/>
          </w:tcPr>
          <w:p>
            <w:pPr>
              <w:spacing w:after="40" w:line="240" w:lineRule="auto"/>
            </w:pPr>
            <w:r/>
            <w:r>
              <w:rPr>
                <w:rFonts w:ascii="Times New Roman" w:hAnsi="Times New Roman"/>
                <w:b w:val="0"/>
                <w:i w:val="0"/>
                <w:sz w:val="18"/>
              </w:rPr>
              <w:t>DOI 10.1002/asi.21001</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46</w:t>
            </w:r>
          </w:p>
        </w:tc>
        <w:tc>
          <w:tcPr>
            <w:tcW w:type="dxa" w:w="4752"/>
          </w:tcPr>
          <w:p>
            <w:pPr>
              <w:spacing w:after="40" w:line="240" w:lineRule="auto"/>
            </w:pPr>
            <w:r/>
            <w:r>
              <w:rPr>
                <w:rFonts w:ascii="Times New Roman" w:hAnsi="Times New Roman"/>
                <w:b w:val="0"/>
                <w:i w:val="0"/>
                <w:sz w:val="18"/>
              </w:rPr>
              <w:t>Stover et al. (2016), Apuleius, JASIST 67(1)</w:t>
            </w:r>
          </w:p>
        </w:tc>
        <w:tc>
          <w:tcPr>
            <w:tcW w:type="dxa" w:w="3888"/>
          </w:tcPr>
          <w:p>
            <w:pPr>
              <w:spacing w:after="40" w:line="240" w:lineRule="auto"/>
            </w:pPr>
            <w:r/>
            <w:r>
              <w:rPr>
                <w:rFonts w:ascii="Times New Roman" w:hAnsi="Times New Roman"/>
                <w:b w:val="0"/>
                <w:i w:val="0"/>
                <w:sz w:val="18"/>
              </w:rPr>
              <w:t>DOI 10.1002/asi.23460</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47</w:t>
            </w:r>
          </w:p>
        </w:tc>
        <w:tc>
          <w:tcPr>
            <w:tcW w:type="dxa" w:w="4752"/>
          </w:tcPr>
          <w:p>
            <w:pPr>
              <w:spacing w:after="40" w:line="240" w:lineRule="auto"/>
            </w:pPr>
            <w:r/>
            <w:r>
              <w:rPr>
                <w:rFonts w:ascii="Times New Roman" w:hAnsi="Times New Roman"/>
                <w:b w:val="0"/>
                <w:i w:val="0"/>
                <w:sz w:val="18"/>
              </w:rPr>
              <w:t>Tang, Chuang &amp; Hu (2024), CACM 67(4)</w:t>
            </w:r>
          </w:p>
        </w:tc>
        <w:tc>
          <w:tcPr>
            <w:tcW w:type="dxa" w:w="3888"/>
          </w:tcPr>
          <w:p>
            <w:pPr>
              <w:spacing w:after="40" w:line="240" w:lineRule="auto"/>
            </w:pPr>
            <w:r/>
            <w:r>
              <w:rPr>
                <w:rFonts w:ascii="Times New Roman" w:hAnsi="Times New Roman"/>
                <w:b w:val="0"/>
                <w:i w:val="0"/>
                <w:sz w:val="18"/>
              </w:rPr>
              <w:t>DOI 10.1145/3624725 (Crossref)</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48</w:t>
            </w:r>
          </w:p>
        </w:tc>
        <w:tc>
          <w:tcPr>
            <w:tcW w:type="dxa" w:w="4752"/>
          </w:tcPr>
          <w:p>
            <w:pPr>
              <w:spacing w:after="40" w:line="240" w:lineRule="auto"/>
            </w:pPr>
            <w:r/>
            <w:r>
              <w:rPr>
                <w:rFonts w:ascii="Times New Roman" w:hAnsi="Times New Roman"/>
                <w:b w:val="0"/>
                <w:i w:val="0"/>
                <w:sz w:val="18"/>
              </w:rPr>
              <w:t>Vatri &amp; McGillivray (2018), Diorisis, RDJ 3(1)</w:t>
            </w:r>
          </w:p>
        </w:tc>
        <w:tc>
          <w:tcPr>
            <w:tcW w:type="dxa" w:w="3888"/>
          </w:tcPr>
          <w:p>
            <w:pPr>
              <w:spacing w:after="40" w:line="240" w:lineRule="auto"/>
            </w:pPr>
            <w:r/>
            <w:r>
              <w:rPr>
                <w:rFonts w:ascii="Times New Roman" w:hAnsi="Times New Roman"/>
                <w:b w:val="0"/>
                <w:i w:val="0"/>
                <w:sz w:val="18"/>
              </w:rPr>
              <w:t>DOI 10.1163/24523666-01000013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49</w:t>
            </w:r>
          </w:p>
        </w:tc>
        <w:tc>
          <w:tcPr>
            <w:tcW w:type="dxa" w:w="4752"/>
          </w:tcPr>
          <w:p>
            <w:pPr>
              <w:spacing w:after="40" w:line="240" w:lineRule="auto"/>
            </w:pPr>
            <w:r/>
            <w:r>
              <w:rPr>
                <w:rFonts w:ascii="Times New Roman" w:hAnsi="Times New Roman"/>
                <w:b w:val="0"/>
                <w:i w:val="0"/>
                <w:sz w:val="18"/>
              </w:rPr>
              <w:t>Wei et al. (2022), Chain-of-thought, NeurIPS 35</w:t>
            </w:r>
          </w:p>
        </w:tc>
        <w:tc>
          <w:tcPr>
            <w:tcW w:type="dxa" w:w="3888"/>
          </w:tcPr>
          <w:p>
            <w:pPr>
              <w:spacing w:after="40" w:line="240" w:lineRule="auto"/>
            </w:pPr>
            <w:r/>
            <w:r>
              <w:rPr>
                <w:rFonts w:ascii="Times New Roman" w:hAnsi="Times New Roman"/>
                <w:b w:val="0"/>
                <w:i w:val="0"/>
                <w:sz w:val="18"/>
              </w:rPr>
              <w:t>papers.neurips.cc; arXiv:2201.11903</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50</w:t>
            </w:r>
          </w:p>
        </w:tc>
        <w:tc>
          <w:tcPr>
            <w:tcW w:type="dxa" w:w="4752"/>
          </w:tcPr>
          <w:p>
            <w:pPr>
              <w:spacing w:after="40" w:line="240" w:lineRule="auto"/>
            </w:pPr>
            <w:r/>
            <w:r>
              <w:rPr>
                <w:rFonts w:ascii="Times New Roman" w:hAnsi="Times New Roman"/>
                <w:b w:val="0"/>
                <w:i w:val="0"/>
                <w:sz w:val="18"/>
              </w:rPr>
              <w:t>Zainaldin et al. (2026), Galen LLM translation</w:t>
            </w:r>
          </w:p>
        </w:tc>
        <w:tc>
          <w:tcPr>
            <w:tcW w:type="dxa" w:w="3888"/>
          </w:tcPr>
          <w:p>
            <w:pPr>
              <w:spacing w:after="40" w:line="240" w:lineRule="auto"/>
            </w:pPr>
            <w:r/>
            <w:r>
              <w:rPr>
                <w:rFonts w:ascii="Times New Roman" w:hAnsi="Times New Roman"/>
                <w:b w:val="0"/>
                <w:i w:val="0"/>
                <w:sz w:val="18"/>
              </w:rPr>
              <w:t>arXiv:2602.24119 (self-checked)</w:t>
            </w:r>
          </w:p>
        </w:tc>
        <w:tc>
          <w:tcPr>
            <w:tcW w:type="dxa" w:w="1368"/>
          </w:tcPr>
          <w:p>
            <w:pPr>
              <w:spacing w:after="40" w:line="240" w:lineRule="auto"/>
            </w:pPr>
            <w:r/>
            <w:r>
              <w:rPr>
                <w:rFonts w:ascii="Times New Roman" w:hAnsi="Times New Roman"/>
                <w:b w:val="0"/>
                <w:i w:val="0"/>
                <w:sz w:val="18"/>
              </w:rPr>
              <w:t>Verified</w:t>
            </w:r>
          </w:p>
        </w:tc>
      </w:tr>
      <w:tr>
        <w:tc>
          <w:tcPr>
            <w:tcW w:type="dxa" w:w="504"/>
          </w:tcPr>
          <w:p>
            <w:pPr>
              <w:spacing w:after="40" w:line="240" w:lineRule="auto"/>
            </w:pPr>
            <w:r/>
            <w:r>
              <w:rPr>
                <w:rFonts w:ascii="Times New Roman" w:hAnsi="Times New Roman"/>
                <w:b w:val="0"/>
                <w:i w:val="0"/>
                <w:sz w:val="18"/>
              </w:rPr>
              <w:t>51</w:t>
            </w:r>
          </w:p>
        </w:tc>
        <w:tc>
          <w:tcPr>
            <w:tcW w:type="dxa" w:w="4752"/>
          </w:tcPr>
          <w:p>
            <w:pPr>
              <w:spacing w:after="40" w:line="240" w:lineRule="auto"/>
            </w:pPr>
            <w:r/>
            <w:r>
              <w:rPr>
                <w:rFonts w:ascii="Times New Roman" w:hAnsi="Times New Roman"/>
                <w:b w:val="0"/>
                <w:i w:val="0"/>
                <w:sz w:val="18"/>
              </w:rPr>
              <w:t>Zhu et al. (2024), Multilingual LLM survey</w:t>
            </w:r>
          </w:p>
        </w:tc>
        <w:tc>
          <w:tcPr>
            <w:tcW w:type="dxa" w:w="3888"/>
          </w:tcPr>
          <w:p>
            <w:pPr>
              <w:spacing w:after="40" w:line="240" w:lineRule="auto"/>
            </w:pPr>
            <w:r/>
            <w:r>
              <w:rPr>
                <w:rFonts w:ascii="Times New Roman" w:hAnsi="Times New Roman"/>
                <w:b w:val="0"/>
                <w:i w:val="0"/>
                <w:sz w:val="18"/>
              </w:rPr>
              <w:t>arXiv:2411.11072</w:t>
            </w:r>
          </w:p>
        </w:tc>
        <w:tc>
          <w:tcPr>
            <w:tcW w:type="dxa" w:w="1368"/>
          </w:tcPr>
          <w:p>
            <w:pPr>
              <w:spacing w:after="40" w:line="240" w:lineRule="auto"/>
            </w:pPr>
            <w:r/>
            <w:r>
              <w:rPr>
                <w:rFonts w:ascii="Times New Roman" w:hAnsi="Times New Roman"/>
                <w:b w:val="0"/>
                <w:i w:val="0"/>
                <w:sz w:val="18"/>
              </w:rPr>
              <w:t>Verified†</w:t>
            </w:r>
          </w:p>
        </w:tc>
      </w:tr>
    </w:tbl>
    <w:p>
      <w:pPr>
        <w:pStyle w:val="Heading2"/>
      </w:pPr>
      <w:r>
        <w:t>Caveats and details flagged for a final author check</w:t>
      </w:r>
    </w:p>
    <w:p>
      <w:pPr>
        <w:pStyle w:val="ListBullet"/>
      </w:pPr>
      <w:r>
        <w:rPr>
          <w:sz w:val="20"/>
        </w:rPr>
        <w:t>*  Bibliographic detail corrected during verification: Bamman &amp; Crane (2011) title is plural “Treebanks”; Gorman (2020) title is “…without vocabulary” (not “without lemmatization”) and the author is Robert Gorman (single author), distinct from Vanessa B. Gorman; Johnson et al. (2021) sixth author is W. J. B. Mattingly (not “Schauer”); Haug &amp; Jøhndal (2008) precise venue is the Second Workshop on Language Technology for Cultural Heritage Data (LaTeCH 2008), pp. 27–34; Keersmaekers (2021) venue is LChange 2021 (not LT4HALA); Jawahar et al. (2020) pages are 2296–2309; Diorisis (Vatri &amp; McGillivray, 2018) verified via consistent metadata across mirrors because the Brill page blocks automated access; Mireshghallah et al. (2024) published title says “Zero-shot” (preprint said “Black-box”).</w:t>
      </w:r>
    </w:p>
    <w:p>
      <w:pPr>
        <w:pStyle w:val="ListBullet"/>
      </w:pPr>
      <w:r>
        <w:rPr>
          <w:sz w:val="20"/>
        </w:rPr>
        <w:t>†  Eight or more authors: the reference list uses the abbreviated “first author et al.” form to match the existing bibliography style (cf. Pedregosa et al., 2011). Full author lists are confirmed at the cited source and can be expanded to APA 7’s 19-names-then-ellipsis-then-final-author rule if the final venue requires it.</w:t>
      </w:r>
    </w:p>
    <w:p>
      <w:pPr>
        <w:pStyle w:val="ListBullet"/>
      </w:pPr>
      <w:r>
        <w:rPr>
          <w:sz w:val="20"/>
        </w:rPr>
        <w:t>‡  Proceedings pagination: the NeurIPS landing pages (Brown et al., 2020; Wei et al., 2022) and the PMLR pages (Mitchell et al., 2023; Kirchenbauer et al., 2023) do not print page ranges; the page numbers given are the standard published-proceedings pagination and PMLR/NeurIPS assign no DOI. Title, authors, year and venue are confirmed.</w:t>
      </w:r>
    </w:p>
    <w:p>
      <w:pPr>
        <w:pStyle w:val="ListBullet"/>
      </w:pPr>
      <w:r>
        <w:rPr>
          <w:sz w:val="20"/>
        </w:rPr>
        <w:t>§  Juola (2006): the article appears in Foundations and Trends in Information Retrieval 1(3), 233–334; 2006 is the standard citation, but some catalogue records show a 2008 monograph reprint. Year retained as 2006.</w:t>
      </w:r>
    </w:p>
    <w:p>
      <w:pPr>
        <w:pStyle w:val="ListBullet"/>
      </w:pPr>
      <w:r>
        <w:rPr>
          <w:sz w:val="20"/>
        </w:rPr>
        <w:t>¶  Detail to confirm against the printed source before final submission: Manousakis (2020) — monograph existence, author, publisher, series (Trends in Classics, Suppl. Vol. 98) and ISBN 978-3-11-068764-4 are confirmed; verify the exact e-book DOI string (10.1515/9783110687675) on the De Gruyter page, which blocks automated access. Mikros &amp; Perifanos (2013) — existence, authors and venue (AAAI Spring Symposium SS-13-01) are confirmed; the page range pp. 17–23 is from secondary records and should be checked against the printed technical report.</w:t>
      </w:r>
    </w:p>
    <w:p>
      <w:pPr>
        <w:pStyle w:val="ListBullet"/>
      </w:pPr>
      <w:r>
        <w:rPr>
          <w:sz w:val="20"/>
        </w:rPr>
        <w:t>‖  Mikros (2025a) is printed in DSH under the name “George Mikros” (no middle initial); the reference list standardises the author to “Mikros, G. K.” so that all six of the author’s works group correctly in one bibliography.</w:t>
      </w:r>
    </w:p>
    <w:p>
      <w:pPr>
        <w:pStyle w:val="ListBullet"/>
      </w:pPr>
      <w:r>
        <w:rPr>
          <w:sz w:val="20"/>
        </w:rPr>
        <w:t>** Tang, Chuang &amp; Hu (2024): the published CACM version uses the singular title “The science of detecting LLM-generated text”; the arXiv preprint (2303.07205) uses the plural “texts.” The published form is cited.</w:t>
      </w:r>
    </w:p>
    <w:p>
      <w:pPr>
        <w:pStyle w:val="Heading2"/>
      </w:pPr>
      <w:r>
        <w:t>Candidates considered but excluded as unverifiable</w:t>
      </w:r>
    </w:p>
    <w:p>
      <w:r>
        <w:rPr>
          <w:i/>
        </w:rPr>
        <w:t>For transparency, the following items surfaced during research but were deliberately NOT cited because they could not be verified or were mis-attributed. They were replaced by the verified works noted.</w:t>
      </w:r>
    </w:p>
    <w:p>
      <w:pPr>
        <w:pStyle w:val="ListBullet"/>
      </w:pPr>
      <w:r>
        <w:rPr>
          <w:sz w:val="20"/>
        </w:rPr>
        <w:t>A jointly authored “Manousakis &amp; Stamatatos” paper on the authorship of Greek tragedy could not be located and does not appear to exist; the verifiable work is the single-authored Manousakis (2020) monograph, which is cited instead.</w:t>
      </w:r>
    </w:p>
    <w:p>
      <w:pPr>
        <w:pStyle w:val="ListBullet"/>
      </w:pPr>
      <w:r>
        <w:rPr>
          <w:sz w:val="20"/>
        </w:rPr>
        <w:t>Hämäläinen, “LLMs Will Be the Future of NLP for Endangered Languages” — not present in the ACL Anthology IWCLUL 2024 volume and no landing page was loadable; the fully verifiable Hämäläinen (2024) “DAG … using ChatGPT” paper is cited instead.</w:t>
      </w:r>
    </w:p>
    <w:p>
      <w:pPr>
        <w:pStyle w:val="ListBullet"/>
      </w:pPr>
      <w:r>
        <w:rPr>
          <w:sz w:val="20"/>
        </w:rPr>
        <w:t>A “Mercelis &amp; Keersmaekers (2024) Ancient Greek lemmatization with LLMs” paper, as sometimes described, was not confirmed: the real 2024 Keersmaekers &amp; Mercelis paper is on morphological tagging (cited), and the LLM-based Ancient Greek lemmatizer is by Celano (2024, also cited).</w:t>
      </w:r>
    </w:p>
    <w:p>
      <w:pPr>
        <w:pStyle w:val="ListBullet"/>
      </w:pPr>
      <w:r>
        <w:rPr>
          <w:sz w:val="20"/>
        </w:rPr>
        <w:t>Perseus Digital Library was treated as a database/website rather than a fixed dated reference and is not cited as a formal bibliographic entry.</w:t>
      </w:r>
    </w:p>
    <w:p>
      <w:pPr>
        <w:pStyle w:val="Heading2"/>
      </w:pPr>
      <w:r>
        <w:t>Overlap with the existing Methods-and-tools references</w:t>
      </w:r>
    </w:p>
    <w:p>
      <w:r>
        <w:rPr>
          <w:sz w:val="20"/>
        </w:rPr>
        <w:t>Four cited works — Haug &amp; Jøhndal (2008), Qi et al. (2020), Singh et al. (2021) and Riemenschneider &amp; Frank (2023a) — already appear in the draft’s “References (methods and tools)” list. They should be merged into one deduplicated bibliography when the section is integrated. The literature-review entry for Haug &amp; Jøhndal (2008) gives the more precise venue and page range (LaTeCH 2008, pp. 27–34).</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color w:val="2E4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