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How Well Do State-of-the-Art LLMs Write Ancient Greek?</w:t>
      </w:r>
    </w:p>
    <w:p>
      <w:pPr>
        <w:spacing w:after="160"/>
        <w:jc w:val="center"/>
      </w:pPr>
      <w:r>
        <w:rPr>
          <w:rFonts w:ascii="Calibri" w:cs="Calibri" w:eastAsia="Calibri" w:hAnsi="Calibri"/>
          <w:b/>
          <w:bCs/>
          <w:color w:val="1F3864"/>
          <w:sz w:val="28"/>
          <w:szCs w:val="28"/>
        </w:rPr>
        <w:t xml:space="preserve">A Chunk-Level Stylometric Resource and Evaluation</w:t>
      </w:r>
    </w:p>
    <w:p>
      <w:pPr>
        <w:spacing w:after="40"/>
        <w:jc w:val="center"/>
      </w:pPr>
      <w:r>
        <w:rPr>
          <w:rFonts w:ascii="Times New Roman" w:cs="Times New Roman" w:eastAsia="Times New Roman" w:hAnsi="Times New Roman"/>
          <w:sz w:val="24"/>
          <w:szCs w:val="24"/>
        </w:rPr>
        <w:t xml:space="preserve">George Mikros</w:t>
      </w:r>
    </w:p>
    <w:p>
      <w:pPr>
        <w:spacing w:after="40"/>
        <w:jc w:val="center"/>
      </w:pPr>
      <w:r>
        <w:rPr>
          <w:rFonts w:ascii="Times New Roman" w:cs="Times New Roman" w:eastAsia="Times New Roman" w:hAnsi="Times New Roman"/>
          <w:i/>
          <w:iCs/>
          <w:color w:val="555555"/>
          <w:sz w:val="20"/>
          <w:szCs w:val="20"/>
        </w:rPr>
        <w:t xml:space="preserve">Prepared for submission to Language Resources and Evaluation (Springer)</w:t>
      </w:r>
    </w:p>
    <w:p>
      <w:pPr>
        <w:pBdr>
          <w:bottom w:val="single" w:color="1F3864" w:sz="6" w:space="6"/>
        </w:pBdr>
        <w:spacing w:after="200"/>
        <w:jc w:val="center"/>
      </w:pPr>
      <w:r>
        <w:rPr>
          <w:rFonts w:ascii="Times New Roman" w:cs="Times New Roman" w:eastAsia="Times New Roman" w:hAnsi="Times New Roman"/>
          <w:i/>
          <w:iCs/>
          <w:color w:val="555555"/>
          <w:sz w:val="22"/>
          <w:szCs w:val="22"/>
        </w:rPr>
        <w:t xml:space="preserve">Methods and Results</w:t>
      </w:r>
    </w:p>
    <w:p>
      <w:pPr>
        <w:spacing w:after="200"/>
        <w:jc w:val="both"/>
      </w:pPr>
      <w:r>
        <w:rPr>
          <w:rFonts w:ascii="Times New Roman" w:cs="Times New Roman" w:eastAsia="Times New Roman" w:hAnsi="Times New Roman"/>
          <w:i/>
          <w:iCs/>
          <w:sz w:val="22"/>
          <w:szCs w:val="22"/>
        </w:rPr>
        <w:t xml:space="preserve">Scope. </w:t>
      </w:r>
      <w:r>
        <w:rPr>
          <w:rFonts w:ascii="Times New Roman" w:cs="Times New Roman" w:eastAsia="Times New Roman" w:hAnsi="Times New Roman"/>
          <w:color w:val="333333"/>
          <w:sz w:val="22"/>
          <w:szCs w:val="22"/>
        </w:rPr>
        <w:t xml:space="preserve">This document contains the Methods and Results sections of the paper. Section numbering follows the full manuscript: the Methods comprise Sections 3 to 5 (corpus construction, feature extraction and embeddings, and evaluation methodology) and the Results comprise Section 6. All quantities, tables and figures are drawn directly from the released analysis artifacts and have been reproduced from the underlying data files.</w:t>
      </w:r>
    </w:p>
    <w:p>
      <w:pPr>
        <w:pStyle w:val="Heading1"/>
      </w:pPr>
      <w:r>
        <w:t xml:space="preserve">Methods (Sections 3–5)</w:t>
      </w:r>
    </w:p>
    <w:p>
      <w:pPr>
        <w:spacing w:after="140" w:line="276" w:lineRule="auto"/>
        <w:jc w:val="both"/>
      </w:pPr>
      <w:r>
        <w:rPr>
          <w:rFonts w:ascii="Times New Roman" w:cs="Times New Roman" w:eastAsia="Times New Roman" w:hAnsi="Times New Roman"/>
          <w:sz w:val="22"/>
          <w:szCs w:val="22"/>
        </w:rPr>
        <w:t xml:space="preserve">The following three sections describe how the resource was constructed (</w:t>
      </w:r>
      <w:r>
        <w:rPr>
          <w:rFonts w:ascii="Times New Roman" w:cs="Times New Roman" w:eastAsia="Times New Roman" w:hAnsi="Times New Roman"/>
          <w:sz w:val="22"/>
          <w:szCs w:val="22"/>
        </w:rPr>
        <w:t xml:space="preserve">Section 3</w:t>
      </w:r>
      <w:r>
        <w:rPr>
          <w:rFonts w:ascii="Times New Roman" w:cs="Times New Roman" w:eastAsia="Times New Roman" w:hAnsi="Times New Roman"/>
          <w:sz w:val="22"/>
          <w:szCs w:val="22"/>
        </w:rPr>
        <w:t xml:space="preserve">), how the stylometric features and neural document embeddings were derived (</w:t>
      </w:r>
      <w:r>
        <w:rPr>
          <w:rFonts w:ascii="Times New Roman" w:cs="Times New Roman" w:eastAsia="Times New Roman" w:hAnsi="Times New Roman"/>
          <w:sz w:val="22"/>
          <w:szCs w:val="22"/>
        </w:rPr>
        <w:t xml:space="preserve">Section 4</w:t>
      </w:r>
      <w:r>
        <w:rPr>
          <w:rFonts w:ascii="Times New Roman" w:cs="Times New Roman" w:eastAsia="Times New Roman" w:hAnsi="Times New Roman"/>
          <w:sz w:val="22"/>
          <w:szCs w:val="22"/>
        </w:rPr>
        <w:t xml:space="preserve">), and how the statistical evaluation was carried out (</w:t>
      </w:r>
      <w:r>
        <w:rPr>
          <w:rFonts w:ascii="Times New Roman" w:cs="Times New Roman" w:eastAsia="Times New Roman" w:hAnsi="Times New Roman"/>
          <w:sz w:val="22"/>
          <w:szCs w:val="22"/>
        </w:rPr>
        <w:t xml:space="preserve">Section 5</w:t>
      </w:r>
      <w:r>
        <w:rPr>
          <w:rFonts w:ascii="Times New Roman" w:cs="Times New Roman" w:eastAsia="Times New Roman" w:hAnsi="Times New Roman"/>
          <w:sz w:val="22"/>
          <w:szCs w:val="22"/>
        </w:rPr>
        <w:t xml:space="preserve">).</w:t>
      </w:r>
    </w:p>
    <w:p>
      <w:pPr>
        <w:pStyle w:val="Heading2"/>
      </w:pPr>
      <w:r>
        <w:t xml:space="preserve">3  The Resource: Corpus Construction</w:t>
      </w:r>
    </w:p>
    <w:p>
      <w:pPr>
        <w:pStyle w:val="Heading3"/>
      </w:pPr>
      <w:r>
        <w:t xml:space="preserve">3.1  Source corpus</w:t>
      </w:r>
    </w:p>
    <w:p>
      <w:pPr>
        <w:spacing w:after="140" w:line="276" w:lineRule="auto"/>
        <w:jc w:val="both"/>
      </w:pPr>
      <w:r>
        <w:rPr>
          <w:rFonts w:ascii="Times New Roman" w:cs="Times New Roman" w:eastAsia="Times New Roman" w:hAnsi="Times New Roman"/>
          <w:sz w:val="22"/>
          <w:szCs w:val="22"/>
        </w:rPr>
        <w:t xml:space="preserve">The human side of the corpus consists of 119 source texts drawn from the canonical corpus of the ten Attic orators: Aeschines, Andocides, Antiphon, Demosthenes, Dinarchus, Hyperides, Isaeus, Isocrates, Lycurgus and Lysias. The orators are unevenly represented in the surviving record, and this imbalance propagates into the chunk counts. Demosthenes alone supplies 669 of the 1,322 human chunks (50.6%), followed by Isocrates (279) and Aeschines (109), whereas Lysias contributes only 14 (</w:t>
      </w:r>
      <w:hyperlink w:history="1" w:anchor="tab1">
        <w:r>
          <w:rPr>
            <w:rFonts w:ascii="Times New Roman" w:cs="Times New Roman" w:eastAsia="Times New Roman" w:hAnsi="Times New Roman"/>
            <w:sz w:val="22"/>
            <w:szCs w:val="22"/>
          </w:rPr>
          <w:t xml:space="preserve">Table 1</w:t>
        </w:r>
      </w:hyperlink>
      <w:r>
        <w:rPr>
          <w:rFonts w:ascii="Times New Roman" w:cs="Times New Roman" w:eastAsia="Times New Roman" w:hAnsi="Times New Roman"/>
          <w:sz w:val="22"/>
          <w:szCs w:val="22"/>
        </w:rPr>
        <w:t xml:space="preserve">). This skew is intrinsic to the transmitted oratorical canon rather than a sampling artifact, and we preserve it so that the resource reflects the genre as it actually survives; the evaluation models below accommodate it through author-level random effects and author-grouped cross-validation.</w:t>
      </w:r>
    </w:p>
    <w:p>
      <w:pPr>
        <w:pStyle w:val="Heading3"/>
      </w:pPr>
      <w:r>
        <w:t xml:space="preserve">3.2  Chunking and length calibration</w:t>
      </w:r>
    </w:p>
    <w:p>
      <w:pPr>
        <w:spacing w:after="140" w:line="276" w:lineRule="auto"/>
        <w:jc w:val="both"/>
      </w:pPr>
      <w:r>
        <w:rPr>
          <w:rFonts w:ascii="Times New Roman" w:cs="Times New Roman" w:eastAsia="Times New Roman" w:hAnsi="Times New Roman"/>
          <w:sz w:val="22"/>
          <w:szCs w:val="22"/>
        </w:rPr>
        <w:t xml:space="preserve">Generating stylistically faithful Ancient Greek requires that a model reproduce not only the meaning of a passage but also its </w:t>
      </w:r>
      <w:r>
        <w:rPr>
          <w:rFonts w:ascii="Times New Roman" w:cs="Times New Roman" w:eastAsia="Times New Roman" w:hAnsi="Times New Roman"/>
          <w:i/>
          <w:iCs/>
          <w:sz w:val="22"/>
          <w:szCs w:val="22"/>
        </w:rPr>
        <w:t xml:space="preserve">length</w:t>
      </w:r>
      <w:r>
        <w:rPr>
          <w:rFonts w:ascii="Times New Roman" w:cs="Times New Roman" w:eastAsia="Times New Roman" w:hAnsi="Times New Roman"/>
          <w:sz w:val="22"/>
          <w:szCs w:val="22"/>
        </w:rPr>
        <w:t xml:space="preserve">. Whole documents are too long and too heterogeneous for length-faithful rewriting, so each source text is segmented into units of approximately 400 words with sentence- and word-aligned boundaries, yielding 1,322 human chunks. To choose the chunking granularity we ran a calibration experiment that generated pilot rewrites at several candidate sizes and measured, for each, two complementary quantities: length preservation, operationalised as the median ratio of rewrite length to source length and as the share of rewrites falling within a tolerance band, and content fidelity, operationalised as the token-level Jaccard overlap between rewrite and source (</w:t>
      </w:r>
      <w:hyperlink w:history="1" w:anchor="fig1">
        <w:r>
          <w:rPr>
            <w:rFonts w:ascii="Times New Roman" w:cs="Times New Roman" w:eastAsia="Times New Roman" w:hAnsi="Times New Roman"/>
            <w:sz w:val="22"/>
            <w:szCs w:val="22"/>
          </w:rPr>
          <w:t xml:space="preserve">Figure 1</w:t>
        </w:r>
      </w:hyperlink>
      <w:r>
        <w:rPr>
          <w:rFonts w:ascii="Times New Roman" w:cs="Times New Roman" w:eastAsia="Times New Roman" w:hAnsi="Times New Roman"/>
          <w:sz w:val="22"/>
          <w:szCs w:val="22"/>
        </w:rPr>
        <w:t xml:space="preserve">).</w:t>
      </w:r>
    </w:p>
    <w:p>
      <w:pPr>
        <w:spacing w:after="140" w:line="276" w:lineRule="auto"/>
        <w:jc w:val="both"/>
      </w:pPr>
      <w:r>
        <w:rPr>
          <w:rFonts w:ascii="Times New Roman" w:cs="Times New Roman" w:eastAsia="Times New Roman" w:hAnsi="Times New Roman"/>
          <w:sz w:val="22"/>
          <w:szCs w:val="22"/>
        </w:rPr>
        <w:t xml:space="preserve">Length was preserved almost exactly at every size tested (median ratio 1.02 at 150 words and 1.01 at 400 words, with a mean absolute deviation from the target of at most 0.016 and zero length failures at both 150 and 400 words). Content fidelity, however, was highest at the 400-word unit (0.687, against 0.620 at 150 words). We therefore adopted the 400-word unit for the main run, which additionally yields fewer and longer chunks that are efficient to submit through the providers' asynchronous batch interfaces. An automatic minimum-size selector flagged 150 words as the </w:t>
      </w:r>
      <w:r>
        <w:rPr>
          <w:rFonts w:ascii="Times New Roman" w:cs="Times New Roman" w:eastAsia="Times New Roman" w:hAnsi="Times New Roman"/>
          <w:i/>
          <w:iCs/>
          <w:sz w:val="22"/>
          <w:szCs w:val="22"/>
        </w:rPr>
        <w:t xml:space="preserve">smallest</w:t>
      </w:r>
      <w:r>
        <w:rPr>
          <w:rFonts w:ascii="Times New Roman" w:cs="Times New Roman" w:eastAsia="Times New Roman" w:hAnsi="Times New Roman"/>
          <w:sz w:val="22"/>
          <w:szCs w:val="22"/>
        </w:rPr>
        <w:t xml:space="preserve"> size meeting the tolerance threshold, but the released corpus is built on 400-word chunks; the empirical mean chunk length of the human texts is 399.5 tokens, confirming that the segmentation met its target.</w:t>
      </w:r>
    </w:p>
    <w:p>
      <w:pPr>
        <w:spacing w:after="60" w:before="160"/>
        <w:jc w:val="center"/>
      </w:pPr>
      <w:r>
        <w:drawing>
          <wp:inline distT="0" distB="0" distL="0" distR="0">
            <wp:extent cx="5143500" cy="32194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20" w:before="0"/>
        <w:ind w:left="360" w:right="360"/>
        <w:jc w:val="both"/>
      </w:pPr>
      <w:bookmarkStart w:name="fig1" w:id="1000"/>
      <w:r>
        <w:rPr>
          <w:rFonts w:ascii="Times New Roman" w:cs="Times New Roman" w:eastAsia="Times New Roman" w:hAnsi="Times New Roman"/>
          <w:b/>
          <w:bCs/>
          <w:sz w:val="20"/>
          <w:szCs w:val="20"/>
        </w:rPr>
        <w:t xml:space="preserve">Figure 1. </w:t>
      </w:r>
      <w:bookmarkEnd w:id="1000"/>
      <w:r>
        <w:rPr>
          <w:rFonts w:ascii="Times New Roman" w:cs="Times New Roman" w:eastAsia="Times New Roman" w:hAnsi="Times New Roman"/>
          <w:sz w:val="20"/>
          <w:szCs w:val="20"/>
        </w:rPr>
        <w:t xml:space="preserve">Chunk-size calibration. For each candidate size (150, 250 and 400 words) the figure reports the in-tolerance rate (the share of pilot rewrites whose length falls within the band), content fidelity (token Jaccard overlap with the source), and the mean absolute deviation of the length ratio from one. Length is preserved almost exactly at 150 and 400 words, whereas fidelity peaks at the 400-word unit adopted for the main run.</w:t>
      </w:r>
    </w:p>
    <w:p>
      <w:pPr>
        <w:pStyle w:val="Heading3"/>
      </w:pPr>
      <w:r>
        <w:t xml:space="preserve">3.3  Generation design</w:t>
      </w:r>
    </w:p>
    <w:p>
      <w:pPr>
        <w:spacing w:after="140" w:line="276" w:lineRule="auto"/>
        <w:jc w:val="both"/>
      </w:pPr>
      <w:r>
        <w:rPr>
          <w:rFonts w:ascii="Times New Roman" w:cs="Times New Roman" w:eastAsia="Times New Roman" w:hAnsi="Times New Roman"/>
          <w:sz w:val="22"/>
          <w:szCs w:val="22"/>
        </w:rPr>
        <w:t xml:space="preserve">The generation design is a 2×2 factorial that crosses two systems, GPT-5.5 (</w:t>
      </w:r>
      <w:r>
        <w:rPr>
          <w:rFonts w:ascii="Consolas" w:cs="Consolas" w:eastAsia="Consolas" w:hAnsi="Consolas"/>
          <w:sz w:val="20"/>
          <w:szCs w:val="20"/>
        </w:rPr>
        <w:t xml:space="preserve">gpt-5.5</w:t>
      </w:r>
      <w:r>
        <w:rPr>
          <w:rFonts w:ascii="Times New Roman" w:cs="Times New Roman" w:eastAsia="Times New Roman" w:hAnsi="Times New Roman"/>
          <w:sz w:val="22"/>
          <w:szCs w:val="22"/>
        </w:rPr>
        <w:t xml:space="preserve">) and Claude 4.8 (</w:t>
      </w:r>
      <w:r>
        <w:rPr>
          <w:rFonts w:ascii="Consolas" w:cs="Consolas" w:eastAsia="Consolas" w:hAnsi="Consolas"/>
          <w:sz w:val="20"/>
          <w:szCs w:val="20"/>
        </w:rPr>
        <w:t xml:space="preserve">claude-opus-4-8</w:t>
      </w:r>
      <w:r>
        <w:rPr>
          <w:rFonts w:ascii="Times New Roman" w:cs="Times New Roman" w:eastAsia="Times New Roman" w:hAnsi="Times New Roman"/>
          <w:sz w:val="22"/>
          <w:szCs w:val="22"/>
        </w:rPr>
        <w:t xml:space="preserve">), with two prompting regimes. Under the </w:t>
      </w:r>
      <w:r>
        <w:rPr>
          <w:rFonts w:ascii="Times New Roman" w:cs="Times New Roman" w:eastAsia="Times New Roman" w:hAnsi="Times New Roman"/>
          <w:i/>
          <w:iCs/>
          <w:sz w:val="22"/>
          <w:szCs w:val="22"/>
        </w:rPr>
        <w:t xml:space="preserve">Restricted</w:t>
      </w:r>
      <w:r>
        <w:rPr>
          <w:rFonts w:ascii="Times New Roman" w:cs="Times New Roman" w:eastAsia="Times New Roman" w:hAnsi="Times New Roman"/>
          <w:sz w:val="22"/>
          <w:szCs w:val="22"/>
        </w:rPr>
        <w:t xml:space="preserve"> regime the model is asked to rewrite the passage as closely as possible, preserving meaning and the clause-by-clause order of ideas, the Attic prose register, particle and connective usage, and sentence segmentation. Under the </w:t>
      </w:r>
      <w:r>
        <w:rPr>
          <w:rFonts w:ascii="Times New Roman" w:cs="Times New Roman" w:eastAsia="Times New Roman" w:hAnsi="Times New Roman"/>
          <w:i/>
          <w:iCs/>
          <w:sz w:val="22"/>
          <w:szCs w:val="22"/>
        </w:rPr>
        <w:t xml:space="preserve">Free</w:t>
      </w:r>
      <w:r>
        <w:rPr>
          <w:rFonts w:ascii="Times New Roman" w:cs="Times New Roman" w:eastAsia="Times New Roman" w:hAnsi="Times New Roman"/>
          <w:sz w:val="22"/>
          <w:szCs w:val="22"/>
        </w:rPr>
        <w:t xml:space="preserve"> regime the model is asked to preserve the essential meaning and argument but to express it freely in idiomatic Classical Attic prose. Both prompts enforce a length band of ±15% of the source chunk and require Greek-only output with no commentary, titles, translation, transliteration or notes.</w:t>
      </w:r>
    </w:p>
    <w:p>
      <w:pPr>
        <w:spacing w:after="140" w:line="276" w:lineRule="auto"/>
        <w:jc w:val="both"/>
      </w:pPr>
      <w:r>
        <w:rPr>
          <w:rFonts w:ascii="Times New Roman" w:cs="Times New Roman" w:eastAsia="Times New Roman" w:hAnsi="Times New Roman"/>
          <w:sz w:val="22"/>
          <w:szCs w:val="22"/>
        </w:rPr>
        <w:t xml:space="preserve">Each of the four conditions was generated for all 1,322 source chunks through the providers' asynchronous batch interfaces (OpenAI for GPT-5.5, Anthropic for Claude 4.8). A small number of Claude requests (approximately 44, about 1.7% of the 2,644 Claude requests) returned transient errors within the batch and were re-issued synchronously to fill the gaps, so that every condition ends with a complete set of exactly 1,322 rewrites, verified by file count. The corpus is additionally accompanied by an older-generation baseline (GPT-4o and Claude 3.5) that supports a longitudinal comparison; because the legacy material was anchored on whole documents rather than re-chunked, it is reported separately and is not pooled with the chunk-level analysis below.</w:t>
      </w:r>
    </w:p>
    <w:p>
      <w:pPr>
        <w:pStyle w:val="Heading3"/>
      </w:pPr>
      <w:r>
        <w:t xml:space="preserve">3.4  Orthographic normalization</w:t>
      </w:r>
    </w:p>
    <w:p>
      <w:pPr>
        <w:spacing w:after="140" w:line="276" w:lineRule="auto"/>
        <w:jc w:val="both"/>
      </w:pPr>
      <w:r>
        <w:rPr>
          <w:rFonts w:ascii="Times New Roman" w:cs="Times New Roman" w:eastAsia="Times New Roman" w:hAnsi="Times New Roman"/>
          <w:sz w:val="22"/>
          <w:szCs w:val="22"/>
        </w:rPr>
        <w:t xml:space="preserve">All texts, human and machine, were normalised to a single orthographic convention before feature extraction: Unicode NFC composition, polytonic-aware lowercasing, removal of punctuation and elision apostrophes, retention of diacritics, and whitespace collapse. This step ensures that the downstream features reflect stylistic rather than editorial or orthographic differences, so that, for example, an editor's choice of punctuation or capitalisation in a printed edition does not register as a difference between human and generated prose.</w:t>
      </w:r>
    </w:p>
    <w:p>
      <w:pPr>
        <w:pStyle w:val="Heading3"/>
      </w:pPr>
      <w:r>
        <w:t xml:space="preserve">3.5  Annotation schema and corpus size</w:t>
      </w:r>
    </w:p>
    <w:p>
      <w:pPr>
        <w:spacing w:after="140" w:line="276" w:lineRule="auto"/>
        <w:jc w:val="both"/>
      </w:pPr>
      <w:r>
        <w:rPr>
          <w:rFonts w:ascii="Times New Roman" w:cs="Times New Roman" w:eastAsia="Times New Roman" w:hAnsi="Times New Roman"/>
          <w:sz w:val="22"/>
          <w:szCs w:val="22"/>
        </w:rPr>
        <w:t xml:space="preserve">Each text is annotated with a four-level category schema used throughout the analysis: </w:t>
      </w:r>
      <w:r>
        <w:rPr>
          <w:rFonts w:ascii="Times New Roman" w:cs="Times New Roman" w:eastAsia="Times New Roman" w:hAnsi="Times New Roman"/>
          <w:i/>
          <w:iCs/>
          <w:sz w:val="22"/>
          <w:szCs w:val="22"/>
        </w:rPr>
        <w:t xml:space="preserve">Category1</w:t>
      </w:r>
      <w:r>
        <w:rPr>
          <w:rFonts w:ascii="Times New Roman" w:cs="Times New Roman" w:eastAsia="Times New Roman" w:hAnsi="Times New Roman"/>
          <w:sz w:val="22"/>
          <w:szCs w:val="22"/>
        </w:rPr>
        <w:t xml:space="preserve"> = system (Human, GPT-5.5 or Claude 4.8); </w:t>
      </w:r>
      <w:r>
        <w:rPr>
          <w:rFonts w:ascii="Times New Roman" w:cs="Times New Roman" w:eastAsia="Times New Roman" w:hAnsi="Times New Roman"/>
          <w:i/>
          <w:iCs/>
          <w:sz w:val="22"/>
          <w:szCs w:val="22"/>
        </w:rPr>
        <w:t xml:space="preserve">Category2</w:t>
      </w:r>
      <w:r>
        <w:rPr>
          <w:rFonts w:ascii="Times New Roman" w:cs="Times New Roman" w:eastAsia="Times New Roman" w:hAnsi="Times New Roman"/>
          <w:sz w:val="22"/>
          <w:szCs w:val="22"/>
        </w:rPr>
        <w:t xml:space="preserve"> = author (the ten orators); </w:t>
      </w:r>
      <w:r>
        <w:rPr>
          <w:rFonts w:ascii="Times New Roman" w:cs="Times New Roman" w:eastAsia="Times New Roman" w:hAnsi="Times New Roman"/>
          <w:i/>
          <w:iCs/>
          <w:sz w:val="22"/>
          <w:szCs w:val="22"/>
        </w:rPr>
        <w:t xml:space="preserve">Category3</w:t>
      </w:r>
      <w:r>
        <w:rPr>
          <w:rFonts w:ascii="Times New Roman" w:cs="Times New Roman" w:eastAsia="Times New Roman" w:hAnsi="Times New Roman"/>
          <w:sz w:val="22"/>
          <w:szCs w:val="22"/>
        </w:rPr>
        <w:t xml:space="preserve"> = prompt (Human, Restricted or Free); and </w:t>
      </w:r>
      <w:r>
        <w:rPr>
          <w:rFonts w:ascii="Times New Roman" w:cs="Times New Roman" w:eastAsia="Times New Roman" w:hAnsi="Times New Roman"/>
          <w:i/>
          <w:iCs/>
          <w:sz w:val="22"/>
          <w:szCs w:val="22"/>
        </w:rPr>
        <w:t xml:space="preserve">Category4</w:t>
      </w:r>
      <w:r>
        <w:rPr>
          <w:rFonts w:ascii="Times New Roman" w:cs="Times New Roman" w:eastAsia="Times New Roman" w:hAnsi="Times New Roman"/>
          <w:sz w:val="22"/>
          <w:szCs w:val="22"/>
        </w:rPr>
        <w:t xml:space="preserve"> = label (Human or AI). The final corpus comprises 1,322 human chunks and 4×1,322 = 5,288 AI rewrites, for a total of 6,610 chunk-level texts (</w:t>
      </w:r>
      <w:hyperlink w:history="1" w:anchor="tab1">
        <w:r>
          <w:rPr>
            <w:rFonts w:ascii="Times New Roman" w:cs="Times New Roman" w:eastAsia="Times New Roman" w:hAnsi="Times New Roman"/>
            <w:sz w:val="22"/>
            <w:szCs w:val="22"/>
          </w:rPr>
          <w:t xml:space="preserve">Table 1</w:t>
        </w:r>
      </w:hyperlink>
      <w:r>
        <w:rPr>
          <w:rFonts w:ascii="Times New Roman" w:cs="Times New Roman" w:eastAsia="Times New Roman" w:hAnsi="Times New Roman"/>
          <w:sz w:val="22"/>
          <w:szCs w:val="22"/>
        </w:rPr>
        <w:t xml:space="preserve">, </w:t>
      </w:r>
      <w:hyperlink w:history="1" w:anchor="fig2">
        <w:r>
          <w:rPr>
            <w:rFonts w:ascii="Times New Roman" w:cs="Times New Roman" w:eastAsia="Times New Roman" w:hAnsi="Times New Roman"/>
            <w:sz w:val="22"/>
            <w:szCs w:val="22"/>
          </w:rPr>
          <w:t xml:space="preserve">Figure 2</w:t>
        </w:r>
      </w:hyperlink>
      <w:r>
        <w:rPr>
          <w:rFonts w:ascii="Times New Roman" w:cs="Times New Roman" w:eastAsia="Times New Roman" w:hAnsi="Times New Roman"/>
          <w:sz w:val="22"/>
          <w:szCs w:val="22"/>
        </w:rPr>
        <w:t xml:space="preserve">). By system the corpus splits into 2,644 GPT-5.5, 2,644 Claude 4.8 and 1,322 human texts; by prompt into 2,644 Restricted, 2,644 Free and 1,322 human texts. The four AI conditions are exactly balanced at 1,322 texts each.</w:t>
      </w:r>
    </w:p>
    <w:p>
      <w:pPr>
        <w:spacing w:after="80" w:before="160"/>
        <w:jc w:val="both"/>
      </w:pPr>
      <w:bookmarkStart w:name="tab1" w:id="1001"/>
      <w:r>
        <w:rPr>
          <w:rFonts w:ascii="Times New Roman" w:cs="Times New Roman" w:eastAsia="Times New Roman" w:hAnsi="Times New Roman"/>
          <w:b/>
          <w:bCs/>
          <w:sz w:val="20"/>
          <w:szCs w:val="20"/>
        </w:rPr>
        <w:t xml:space="preserve">Table 1. </w:t>
      </w:r>
      <w:bookmarkEnd w:id="1001"/>
      <w:r>
        <w:rPr>
          <w:rFonts w:ascii="Times New Roman" w:cs="Times New Roman" w:eastAsia="Times New Roman" w:hAnsi="Times New Roman"/>
          <w:sz w:val="20"/>
          <w:szCs w:val="20"/>
        </w:rPr>
        <w:t xml:space="preserve">Corpus composition by orator. Counts are chunk-level. Each human source chunk yields one human text plus four AI rewrites (two systems × two prompting regimes), so the per-orator total is five times the human-chunk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Orator (Category2)</w:t>
            </w:r>
          </w:p>
        </w:tc>
        <w:tc>
          <w:tcPr>
            <w:tcW w:type="dxa" w:w="30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Human chunks</w:t>
            </w:r>
          </w:p>
        </w:tc>
        <w:tc>
          <w:tcPr>
            <w:tcW w:type="dxa" w:w="30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All texts (×5)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Demosthenes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669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3,345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Isocrates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279</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1,395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Aeschines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109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545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Isaeus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83</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415</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Antiphon</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49</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245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Andocides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40</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200</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Hyperides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28</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140</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Dinarchus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26</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130</w:t>
            </w:r>
          </w:p>
        </w:tc>
      </w:tr>
      <w:tr>
        <w:tc>
          <w:tcPr>
            <w:tcW w:type="dxa" w:w="33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Lycurgus</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25</w:t>
            </w:r>
          </w:p>
        </w:tc>
        <w:tc>
          <w:tcPr>
            <w:tcW w:type="dxa" w:w="30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125</w:t>
            </w:r>
          </w:p>
        </w:tc>
      </w:tr>
      <w:tr>
        <w:tc>
          <w:tcPr>
            <w:tcW w:type="dxa" w:w="33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Lysias</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14</w:t>
            </w:r>
          </w:p>
        </w:tc>
        <w:tc>
          <w:tcPr>
            <w:tcW w:type="dxa" w:w="30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70</w:t>
            </w:r>
          </w:p>
        </w:tc>
      </w:tr>
      <w:tr>
        <w:tc>
          <w:tcPr>
            <w:tcW w:type="dxa" w:w="336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b/>
                <w:bCs/>
                <w:sz w:val="20"/>
                <w:szCs w:val="20"/>
              </w:rPr>
              <w:t xml:space="preserve">Total</w:t>
            </w:r>
          </w:p>
        </w:tc>
        <w:tc>
          <w:tcPr>
            <w:tcW w:type="dxa" w:w="300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1,322</w:t>
            </w:r>
          </w:p>
        </w:tc>
        <w:tc>
          <w:tcPr>
            <w:tcW w:type="dxa" w:w="3000"/>
            <w:tcBorders>
              <w:top w:val="single" w:color="BBBBBB" w:sz="1"/>
              <w:left w:val="single" w:color="BBBBBB" w:sz="1"/>
              <w:bottom w:val="single" w:color="BBBBBB" w:sz="1"/>
              <w:right w:val="single" w:color="BBBBBB" w:sz="1"/>
            </w:tcBorders>
            <w:shd w:fill="D9E2F3"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6,610</w:t>
            </w:r>
          </w:p>
        </w:tc>
      </w:tr>
    </w:tbl>
    <w:p>
      <w:pPr>
        <w:spacing w:after="60" w:before="160"/>
        <w:jc w:val="center"/>
      </w:pPr>
      <w:r>
        <w:drawing>
          <wp:inline distT="0" distB="0" distL="0" distR="0">
            <wp:extent cx="5943600" cy="241935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19350"/>
                    </a:xfrm>
                    <a:prstGeom prst="rect">
                      <a:avLst/>
                    </a:prstGeom>
                  </pic:spPr>
                </pic:pic>
              </a:graphicData>
            </a:graphic>
          </wp:inline>
        </w:drawing>
      </w:r>
    </w:p>
    <w:p>
      <w:pPr>
        <w:spacing w:after="220" w:before="0"/>
        <w:ind w:left="360" w:right="360"/>
        <w:jc w:val="both"/>
      </w:pPr>
      <w:bookmarkStart w:name="fig2" w:id="1002"/>
      <w:r>
        <w:rPr>
          <w:rFonts w:ascii="Times New Roman" w:cs="Times New Roman" w:eastAsia="Times New Roman" w:hAnsi="Times New Roman"/>
          <w:b/>
          <w:bCs/>
          <w:sz w:val="20"/>
          <w:szCs w:val="20"/>
        </w:rPr>
        <w:t xml:space="preserve">Figure 2. </w:t>
      </w:r>
      <w:bookmarkEnd w:id="1002"/>
      <w:r>
        <w:rPr>
          <w:rFonts w:ascii="Times New Roman" w:cs="Times New Roman" w:eastAsia="Times New Roman" w:hAnsi="Times New Roman"/>
          <w:sz w:val="20"/>
          <w:szCs w:val="20"/>
        </w:rPr>
        <w:t xml:space="preserve">Corpus composition. (A) Human source chunks contributed by each of the ten Attic orators, showing the dominance of Demosthenes (669 of 1,322 chunks) and the long tail down to Lysias (14). (B) The five chunk-level conditions are exactly balanced at 1,322 texts each, for a total of 6,610 texts.</w:t>
      </w:r>
    </w:p>
    <w:p>
      <w:pPr>
        <w:pStyle w:val="Heading2"/>
      </w:pPr>
      <w:r>
        <w:t xml:space="preserve">4  Feature Extraction and Document Embeddings</w:t>
      </w:r>
    </w:p>
    <w:p>
      <w:pPr>
        <w:pStyle w:val="Heading3"/>
      </w:pPr>
      <w:r>
        <w:t xml:space="preserve">4.1  Stylometric features</w:t>
      </w:r>
    </w:p>
    <w:p>
      <w:pPr>
        <w:spacing w:after="140" w:line="276" w:lineRule="auto"/>
        <w:jc w:val="both"/>
      </w:pPr>
      <w:r>
        <w:rPr>
          <w:rFonts w:ascii="Times New Roman" w:cs="Times New Roman" w:eastAsia="Times New Roman" w:hAnsi="Times New Roman"/>
          <w:sz w:val="22"/>
          <w:szCs w:val="22"/>
        </w:rPr>
        <w:t xml:space="preserve">Each chunk was represented by an 84-dimensional feature vector (a 6,610 × 84 matrix) whose components are drawn from two complementary sources. The first is the automatic linguistic annotation produced by the Stanza Ancient Greek pipeline, whose tagger and parser are trained on the Ancient Greek PROIEL treebank (</w:t>
      </w:r>
      <w:r>
        <w:rPr>
          <w:rFonts w:ascii="Consolas" w:cs="Consolas" w:eastAsia="Consolas" w:hAnsi="Consolas"/>
          <w:sz w:val="20"/>
          <w:szCs w:val="20"/>
        </w:rPr>
        <w:t xml:space="preserve">grc_proiel</w:t>
      </w:r>
      <w:r>
        <w:rPr>
          <w:rFonts w:ascii="Times New Roman" w:cs="Times New Roman" w:eastAsia="Times New Roman" w:hAnsi="Times New Roman"/>
          <w:sz w:val="22"/>
          <w:szCs w:val="22"/>
        </w:rPr>
        <w:t xml:space="preserve">). From these annotations we computed part-of-speech proportions over the universal tag set; morphological distributions for case, tense, aspect, mood and gender, together with case and mood entropy; dependency-relation proportions and the mean and standard deviation of dependency distance; sentence count and average sentence length; and two part-of-speech ratios, lexical density and the noun-to-verb ratio. The PROIEL treebank therefore supplies the model used to annotate the texts, not the texts or the features themselves.</w:t>
      </w:r>
    </w:p>
    <w:p>
      <w:pPr>
        <w:spacing w:after="140" w:line="276" w:lineRule="auto"/>
        <w:jc w:val="both"/>
      </w:pPr>
      <w:r>
        <w:rPr>
          <w:rFonts w:ascii="Times New Roman" w:cs="Times New Roman" w:eastAsia="Times New Roman" w:hAnsi="Times New Roman"/>
          <w:sz w:val="22"/>
          <w:szCs w:val="22"/>
        </w:rPr>
        <w:t xml:space="preserve">The second source is a Greek-aware word tokenizer applied directly to the normalised text, independent of the parser, from which we derived the length and vocabulary features: lexical diversity, captured by the type-token ratio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root type-token ratio (</w:t>
      </w:r>
      <w:r>
        <w:rPr>
          <w:rFonts w:ascii="Consolas" w:cs="Consolas" w:eastAsia="Consolas" w:hAnsi="Consolas"/>
          <w:sz w:val="20"/>
          <w:szCs w:val="20"/>
        </w:rPr>
        <w:t xml:space="preserve">L_Root_TTR</w:t>
      </w:r>
      <w:r>
        <w:rPr>
          <w:rFonts w:ascii="Times New Roman" w:cs="Times New Roman" w:eastAsia="Times New Roman" w:hAnsi="Times New Roman"/>
          <w:sz w:val="22"/>
          <w:szCs w:val="22"/>
        </w:rPr>
        <w:t xml:space="preserve">), log type-token ratio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and the Measure of Textual Lexical Diversity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text entropy; token, type and hapax counts; and average word length. Computing the vocabulary features on an independent tokenizer ensures that they do not inherit any error in the automatic morphosyntactic tagging. Because MTLD is largely invariant to text length, it provides a length-robust complement to the raw type-token ratios, which matters given the controlled but not identical chunk lengths.</w:t>
      </w:r>
    </w:p>
    <w:p>
      <w:pPr>
        <w:pStyle w:val="Heading3"/>
      </w:pPr>
      <w:r>
        <w:t xml:space="preserve">4.2  Neural document embeddings</w:t>
      </w:r>
    </w:p>
    <w:p>
      <w:pPr>
        <w:spacing w:after="140" w:line="276" w:lineRule="auto"/>
        <w:jc w:val="both"/>
      </w:pPr>
      <w:r>
        <w:rPr>
          <w:rFonts w:ascii="Times New Roman" w:cs="Times New Roman" w:eastAsia="Times New Roman" w:hAnsi="Times New Roman"/>
          <w:sz w:val="22"/>
          <w:szCs w:val="22"/>
        </w:rPr>
        <w:t xml:space="preserve">In parallel we computed neural document embeddings with two transformer encoders pre-trained for Ancient Greek: </w:t>
      </w:r>
      <w:r>
        <w:rPr>
          <w:rFonts w:ascii="Consolas" w:cs="Consolas" w:eastAsia="Consolas" w:hAnsi="Consolas"/>
          <w:sz w:val="20"/>
          <w:szCs w:val="20"/>
        </w:rPr>
        <w:t xml:space="preserve">pranaydeeps/Ancient-Greek-BERT</w:t>
      </w:r>
      <w:r>
        <w:rPr>
          <w:rFonts w:ascii="Times New Roman" w:cs="Times New Roman" w:eastAsia="Times New Roman" w:hAnsi="Times New Roman"/>
          <w:sz w:val="22"/>
          <w:szCs w:val="22"/>
        </w:rPr>
        <w:t xml:space="preserve"> and the more recent </w:t>
      </w:r>
      <w:r>
        <w:rPr>
          <w:rFonts w:ascii="Consolas" w:cs="Consolas" w:eastAsia="Consolas" w:hAnsi="Consolas"/>
          <w:sz w:val="20"/>
          <w:szCs w:val="20"/>
        </w:rPr>
        <w:t xml:space="preserve">bowphs/GreBerta</w:t>
      </w:r>
      <w:r>
        <w:rPr>
          <w:rFonts w:ascii="Times New Roman" w:cs="Times New Roman" w:eastAsia="Times New Roman" w:hAnsi="Times New Roman"/>
          <w:sz w:val="22"/>
          <w:szCs w:val="22"/>
        </w:rPr>
        <w:t xml:space="preserve">. Each chunk was embedded by mean-pooling the final hidden state over up to 512 tokens, and the resulting vectors were reduced to 50 principal components (</w:t>
      </w:r>
      <w:r>
        <w:rPr>
          <w:rFonts w:ascii="Consolas" w:cs="Consolas" w:eastAsia="Consolas" w:hAnsi="Consolas"/>
          <w:sz w:val="20"/>
          <w:szCs w:val="20"/>
        </w:rPr>
        <w:t xml:space="preserve">WE1</w:t>
      </w:r>
      <w:r>
        <w:rPr>
          <w:rFonts w:ascii="Times New Roman" w:cs="Times New Roman" w:eastAsia="Times New Roman" w:hAnsi="Times New Roman"/>
          <w:sz w:val="22"/>
          <w:szCs w:val="22"/>
        </w:rPr>
        <w:t xml:space="preserve"> to </w:t>
      </w:r>
      <w:r>
        <w:rPr>
          <w:rFonts w:ascii="Consolas" w:cs="Consolas" w:eastAsia="Consolas" w:hAnsi="Consolas"/>
          <w:sz w:val="20"/>
          <w:szCs w:val="20"/>
        </w:rPr>
        <w:t xml:space="preserve">WE50</w:t>
      </w:r>
      <w:r>
        <w:rPr>
          <w:rFonts w:ascii="Times New Roman" w:cs="Times New Roman" w:eastAsia="Times New Roman" w:hAnsi="Times New Roman"/>
          <w:sz w:val="22"/>
          <w:szCs w:val="22"/>
        </w:rPr>
        <w:t xml:space="preserve">) for analysis and classification. The two encoders provide a deliberate contrast: a widely used domain model and a current state-of-the-art model, so that any conclusion about embedding-based detectability can be checked against encoder choice rather than resting on a single representation.</w:t>
      </w:r>
    </w:p>
    <w:p>
      <w:pPr>
        <w:pStyle w:val="Heading2"/>
      </w:pPr>
      <w:r>
        <w:t xml:space="preserve">5  Evaluation Methodology</w:t>
      </w:r>
    </w:p>
    <w:p>
      <w:pPr>
        <w:spacing w:after="140" w:line="276" w:lineRule="auto"/>
        <w:jc w:val="both"/>
      </w:pPr>
      <w:r>
        <w:rPr>
          <w:rFonts w:ascii="Times New Roman" w:cs="Times New Roman" w:eastAsia="Times New Roman" w:hAnsi="Times New Roman"/>
          <w:sz w:val="22"/>
          <w:szCs w:val="22"/>
        </w:rPr>
        <w:t xml:space="preserve">The primary analysis fits, for each stylometric feature, a linear mixed-effects model contrasting Human and AI with random intercepts for author and for source document, so that the nesting of chunks within documents and within authors is respected and the heavy representation of Demosthenes does not dominate the fixed-effect estimate. The p-values are corrected across features with the Benjamini-Hochberg false-discovery-rate procedure, and standardised effect sizes are reported as Cohen's d, signed so that d = (mean</w:t>
      </w:r>
      <w:r>
        <w:rPr>
          <w:rFonts w:ascii="Times New Roman" w:cs="Times New Roman" w:eastAsia="Times New Roman" w:hAnsi="Times New Roman"/>
          <w:sz w:val="16"/>
          <w:szCs w:val="16"/>
        </w:rPr>
        <w:t xml:space="preserve">Human</w:t>
      </w:r>
      <w:r>
        <w:rPr>
          <w:rFonts w:ascii="Times New Roman" w:cs="Times New Roman" w:eastAsia="Times New Roman" w:hAnsi="Times New Roman"/>
          <w:sz w:val="22"/>
          <w:szCs w:val="22"/>
        </w:rPr>
        <w:t xml:space="preserve"> − mean</w:t>
      </w:r>
      <w:r>
        <w:rPr>
          <w:rFonts w:ascii="Times New Roman" w:cs="Times New Roman" w:eastAsia="Times New Roman" w:hAnsi="Times New Roman"/>
          <w:sz w:val="16"/>
          <w:szCs w:val="16"/>
        </w:rPr>
        <w:t xml:space="preserve">AI</w:t>
      </w:r>
      <w:r>
        <w:rPr>
          <w:rFonts w:ascii="Times New Roman" w:cs="Times New Roman" w:eastAsia="Times New Roman" w:hAnsi="Times New Roman"/>
          <w:sz w:val="22"/>
          <w:szCs w:val="22"/>
        </w:rPr>
        <w:t xml:space="preserve">) / SD, where a positive value indicates a higher mean in the human texts. Confidence intervals (95%) for each effect are obtained from a 5,000-sample bootstrap. The same modelling is applied within the system contrast (Category1) and the prompt contrast (Category3).</w:t>
      </w:r>
    </w:p>
    <w:p>
      <w:pPr>
        <w:spacing w:after="140" w:line="276" w:lineRule="auto"/>
        <w:jc w:val="both"/>
      </w:pPr>
      <w:r>
        <w:rPr>
          <w:rFonts w:ascii="Times New Roman" w:cs="Times New Roman" w:eastAsia="Times New Roman" w:hAnsi="Times New Roman"/>
          <w:sz w:val="22"/>
          <w:szCs w:val="22"/>
        </w:rPr>
        <w:t xml:space="preserve">Complementing the mixed-effects analysis, an established analysis pipeline produced a suite of twenty-four numbered analyses over the same feature matrix and embeddings: corpus counts and summaries; sentence length; Jensen-Shannon divergence of morphological families by author and by condition; global and stratified effect sizes; principal-component analysis; author-proximity distances under four metrics (Canberra, cosine, Euclidean and Manhattan); Human-versus-AI and by-condition classifiers with grouped cross-validation and ROC analysis; clause complexity and lexical richness; clustering with silhouette scores; and a dedicated embedding analysis. In total the suite emits 91 figures. Every classifier in this study uses logistic regression with five-fold GroupKFold cross-validation grouped by author, so that no author appears in both the training and the test partition of any fold and the reported detectability cannot be inflated by author memorisation.</w:t>
      </w:r>
    </w:p>
    <w:p>
      <w:r>
        <w:br w:type="page"/>
      </w:r>
    </w:p>
    <w:p>
      <w:pPr>
        <w:pStyle w:val="Heading1"/>
      </w:pPr>
      <w:r>
        <w:t xml:space="preserve">Results (Section 6)</w:t>
      </w:r>
    </w:p>
    <w:p>
      <w:pPr>
        <w:pStyle w:val="Heading2"/>
      </w:pPr>
      <w:r>
        <w:t xml:space="preserve">6.1  Corpus statistics and length preservation</w:t>
      </w:r>
    </w:p>
    <w:p>
      <w:pPr>
        <w:spacing w:after="140" w:line="276" w:lineRule="auto"/>
        <w:jc w:val="both"/>
      </w:pPr>
      <w:r>
        <w:rPr>
          <w:rFonts w:ascii="Times New Roman" w:cs="Times New Roman" w:eastAsia="Times New Roman" w:hAnsi="Times New Roman"/>
          <w:sz w:val="22"/>
          <w:szCs w:val="22"/>
        </w:rPr>
        <w:t xml:space="preserve">The released corpus contains 6,610 chunk-level texts (1,322 human and 5,288 AI), evenly balanced across the four generation conditions at 1,322 texts each. The length-control protocol was effective: the mean chunk length is 399.5 tokens for the human texts and 390.0 for the AI rewrites (Cohen's d = +0.246 for </w:t>
      </w:r>
      <w:r>
        <w:rPr>
          <w:rFonts w:ascii="Consolas" w:cs="Consolas" w:eastAsia="Consolas" w:hAnsi="Consolas"/>
          <w:sz w:val="20"/>
          <w:szCs w:val="20"/>
        </w:rPr>
        <w:t xml:space="preserve">n_tokens</w:t>
      </w:r>
      <w:r>
        <w:rPr>
          <w:rFonts w:ascii="Times New Roman" w:cs="Times New Roman" w:eastAsia="Times New Roman" w:hAnsi="Times New Roman"/>
          <w:sz w:val="22"/>
          <w:szCs w:val="22"/>
        </w:rPr>
        <w:t xml:space="preserve">), so the AI texts undershoot the source length only slightly and well within the ±15% band. The batch generation was near-complete on the first pass; only about 1.7% of Claude requests required a synchronous retry, and the final per-condition counts are exact.</w:t>
      </w:r>
    </w:p>
    <w:p>
      <w:pPr>
        <w:pStyle w:val="Heading2"/>
      </w:pPr>
      <w:r>
        <w:t xml:space="preserve">6.2  Human versus AI stylometric differences</w:t>
      </w:r>
    </w:p>
    <w:p>
      <w:pPr>
        <w:spacing w:after="140" w:line="276" w:lineRule="auto"/>
        <w:jc w:val="both"/>
      </w:pPr>
      <w:r>
        <w:rPr>
          <w:rFonts w:ascii="Times New Roman" w:cs="Times New Roman" w:eastAsia="Times New Roman" w:hAnsi="Times New Roman"/>
          <w:sz w:val="22"/>
          <w:szCs w:val="22"/>
        </w:rPr>
        <w:t xml:space="preserve">Of the 75 stylometric features carried into the Human-versus-AI mixed-effects models, six were degenerate (zero variance across the corpus) and could not be estimated, leaving 69; of these, 36 are significant after Benjamini-Hochberg correction. The decisive finding is one of magnitude rather than count: </w:t>
      </w:r>
      <w:r>
        <w:rPr>
          <w:rFonts w:ascii="Times New Roman" w:cs="Times New Roman" w:eastAsia="Times New Roman" w:hAnsi="Times New Roman"/>
          <w:i/>
          <w:iCs/>
          <w:sz w:val="22"/>
          <w:szCs w:val="22"/>
        </w:rPr>
        <w:t xml:space="preserve">every</w:t>
      </w:r>
      <w:r>
        <w:rPr>
          <w:rFonts w:ascii="Times New Roman" w:cs="Times New Roman" w:eastAsia="Times New Roman" w:hAnsi="Times New Roman"/>
          <w:sz w:val="22"/>
          <w:szCs w:val="22"/>
        </w:rPr>
        <w:t xml:space="preserve"> significant effect is small. The largest standardised effect is |d| = 0.332, and no feature reaches even a moderate effect size. Human and machine Ancient Greek are therefore reliably but only subtly different.</w:t>
      </w:r>
    </w:p>
    <w:p>
      <w:pPr>
        <w:spacing w:after="140" w:line="276" w:lineRule="auto"/>
        <w:jc w:val="both"/>
      </w:pPr>
      <w:hyperlink w:history="1" w:anchor="tab2">
        <w:r>
          <w:rPr>
            <w:rFonts w:ascii="Times New Roman" w:cs="Times New Roman" w:eastAsia="Times New Roman" w:hAnsi="Times New Roman"/>
            <w:sz w:val="22"/>
            <w:szCs w:val="22"/>
          </w:rPr>
          <w:t xml:space="preserve">Table 2</w:t>
        </w:r>
      </w:hyperlink>
      <w:r>
        <w:rPr>
          <w:rFonts w:ascii="Times New Roman" w:cs="Times New Roman" w:eastAsia="Times New Roman" w:hAnsi="Times New Roman"/>
          <w:sz w:val="22"/>
          <w:szCs w:val="22"/>
        </w:rPr>
        <w:t xml:space="preserve"> lists the ten features with the largest |d|, and the picture they paint is internally coherent. The AI rewrites are built from more, shorter sentences: average sentence length is higher in the human texts (21.5 against 19.9 words, d = +0.321), while the AI texts carry more sentences and a higher density of </w:t>
      </w:r>
      <w:r>
        <w:rPr>
          <w:rFonts w:ascii="Consolas" w:cs="Consolas" w:eastAsia="Consolas" w:hAnsi="Consolas"/>
          <w:sz w:val="20"/>
          <w:szCs w:val="20"/>
        </w:rPr>
        <w:t xml:space="preserve">root</w:t>
      </w:r>
      <w:r>
        <w:rPr>
          <w:rFonts w:ascii="Times New Roman" w:cs="Times New Roman" w:eastAsia="Times New Roman" w:hAnsi="Times New Roman"/>
          <w:sz w:val="22"/>
          <w:szCs w:val="22"/>
        </w:rPr>
        <w:t xml:space="preserve"> dependencies per token (d = −0.332). The machine prose shows marginally higher lexical density (d = −0.329) and higher lexical diversity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d = −0.292,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d = −0.269, and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likewise higher in AI, 220.7 against 208.5), together with a longer mean dependency distance (d = −0.330) and more adverbs (</w:t>
      </w:r>
      <w:r>
        <w:rPr>
          <w:rFonts w:ascii="Consolas" w:cs="Consolas" w:eastAsia="Consolas" w:hAnsi="Consolas"/>
          <w:sz w:val="20"/>
          <w:szCs w:val="20"/>
        </w:rPr>
        <w:t xml:space="preserve">pos_ADV</w:t>
      </w:r>
      <w:r>
        <w:rPr>
          <w:rFonts w:ascii="Times New Roman" w:cs="Times New Roman" w:eastAsia="Times New Roman" w:hAnsi="Times New Roman"/>
          <w:sz w:val="22"/>
          <w:szCs w:val="22"/>
        </w:rPr>
        <w:t xml:space="preserve">, d = −0.287). The orators, conversely, make greater use of auxiliary and copular constructions (</w:t>
      </w:r>
      <w:r>
        <w:rPr>
          <w:rFonts w:ascii="Consolas" w:cs="Consolas" w:eastAsia="Consolas" w:hAnsi="Consolas"/>
          <w:sz w:val="20"/>
          <w:szCs w:val="20"/>
        </w:rPr>
        <w:t xml:space="preserve">pos_AUX</w:t>
      </w:r>
      <w:r>
        <w:rPr>
          <w:rFonts w:ascii="Times New Roman" w:cs="Times New Roman" w:eastAsia="Times New Roman" w:hAnsi="Times New Roman"/>
          <w:sz w:val="22"/>
          <w:szCs w:val="22"/>
        </w:rPr>
        <w:t xml:space="preserve"> d = +0.274, </w:t>
      </w:r>
      <w:r>
        <w:rPr>
          <w:rFonts w:ascii="Consolas" w:cs="Consolas" w:eastAsia="Consolas" w:hAnsi="Consolas"/>
          <w:sz w:val="20"/>
          <w:szCs w:val="20"/>
        </w:rPr>
        <w:t xml:space="preserve">dep_rel_cop</w:t>
      </w:r>
      <w:r>
        <w:rPr>
          <w:rFonts w:ascii="Times New Roman" w:cs="Times New Roman" w:eastAsia="Times New Roman" w:hAnsi="Times New Roman"/>
          <w:sz w:val="22"/>
          <w:szCs w:val="22"/>
        </w:rPr>
        <w:t xml:space="preserve"> d = +0.271) and write slightly longer chunks. In short, the models write denser, lexically richer and more finely segmented prose, whereas the orators favour longer sentences with more periphrastic (auxiliary and copular) syntax. The per-feature forest plot (</w:t>
      </w:r>
      <w:hyperlink w:history="1" w:anchor="fig3">
        <w:r>
          <w:rPr>
            <w:rFonts w:ascii="Times New Roman" w:cs="Times New Roman" w:eastAsia="Times New Roman" w:hAnsi="Times New Roman"/>
            <w:sz w:val="22"/>
            <w:szCs w:val="22"/>
          </w:rPr>
          <w:t xml:space="preserve">Figure 3</w:t>
        </w:r>
      </w:hyperlink>
      <w:r>
        <w:rPr>
          <w:rFonts w:ascii="Times New Roman" w:cs="Times New Roman" w:eastAsia="Times New Roman" w:hAnsi="Times New Roman"/>
          <w:sz w:val="22"/>
          <w:szCs w:val="22"/>
        </w:rPr>
        <w:t xml:space="preserve">) makes the ceiling on these effects visible directly: every confidence interval lies inside the small-effect band, and none approaches a moderate effect.</w:t>
      </w:r>
    </w:p>
    <w:p>
      <w:pPr>
        <w:spacing w:after="80" w:before="160"/>
        <w:jc w:val="both"/>
      </w:pPr>
      <w:bookmarkStart w:name="tab2" w:id="1003"/>
      <w:r>
        <w:rPr>
          <w:rFonts w:ascii="Times New Roman" w:cs="Times New Roman" w:eastAsia="Times New Roman" w:hAnsi="Times New Roman"/>
          <w:b/>
          <w:bCs/>
          <w:sz w:val="20"/>
          <w:szCs w:val="20"/>
        </w:rPr>
        <w:t xml:space="preserve">Table 2. </w:t>
      </w:r>
      <w:bookmarkEnd w:id="1003"/>
      <w:r>
        <w:rPr>
          <w:rFonts w:ascii="Times New Roman" w:cs="Times New Roman" w:eastAsia="Times New Roman" w:hAnsi="Times New Roman"/>
          <w:sz w:val="20"/>
          <w:szCs w:val="20"/>
        </w:rPr>
        <w:t xml:space="preserve">Top ten Human-versus-AI stylometric differences, ranked by |d|. The effect is signed as d = (Human − AI) / SD, so a positive value denotes a higher mean in the human texts. All ten are significant after Benjamini-Hochberg FDR correction. Feature names follow the released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820"/>
        <w:gridCol w:w="1820"/>
        <w:gridCol w:w="1300"/>
        <w:gridCol w:w="1300"/>
        <w:gridCol w:w="1300"/>
        <w:gridCol w:w="1100"/>
      </w:tblGrid>
      <w:tr>
        <w:trPr>
          <w:tblHeader/>
        </w:trPr>
        <w:tc>
          <w:tcPr>
            <w:tcW w:type="dxa" w:w="17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Feature</w:t>
            </w:r>
          </w:p>
        </w:tc>
        <w:tc>
          <w:tcPr>
            <w:tcW w:type="dxa" w:w="8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d</w:t>
            </w:r>
          </w:p>
        </w:tc>
        <w:tc>
          <w:tcPr>
            <w:tcW w:type="dxa" w:w="182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center"/>
            </w:pPr>
            <w:r>
              <w:rPr>
                <w:rFonts w:ascii="Times New Roman" w:cs="Times New Roman" w:eastAsia="Times New Roman" w:hAnsi="Times New Roman"/>
                <w:b/>
                <w:bCs/>
                <w:color w:val="FFFFFF"/>
                <w:sz w:val="20"/>
                <w:szCs w:val="20"/>
              </w:rPr>
              <w:t xml:space="preserve">95% CI</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p (FDR)</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Mean Human</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Mean AI</w:t>
            </w:r>
          </w:p>
        </w:tc>
        <w:tc>
          <w:tcPr>
            <w:tcW w:type="dxa" w:w="11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center"/>
            </w:pPr>
            <w:r>
              <w:rPr>
                <w:rFonts w:ascii="Times New Roman" w:cs="Times New Roman" w:eastAsia="Times New Roman" w:hAnsi="Times New Roman"/>
                <w:b/>
                <w:bCs/>
                <w:color w:val="FFFFFF"/>
                <w:sz w:val="20"/>
                <w:szCs w:val="20"/>
              </w:rPr>
              <w:t xml:space="preserve">Higher in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dep_rel_root</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-0.332</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[-0.390, -0.273]</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9.1×10⁻³⁵</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0.0490</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0.0527</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dep_distance_mean</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-0.330</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[-0.387, -0.271]</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5.5×10⁻³⁰</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2.905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2.967</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lexical_density</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-0.329</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[-0.387, -0.272]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2.6×10⁻³⁴</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0.5662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0.5756</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avg_sentence_length</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+0.321</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[0.257, 0.383]</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4.3×10⁻³²</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21.49</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19.94</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L_TTR</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-0.292</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[-0.357, -0.230]</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7.0×10⁻²⁹</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0.6492</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0.6605</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pos_ADV</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-0.287</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[-0.347, -0.226]</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3.1×10⁻²⁹</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0.1362</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0.1441</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pos_AUX</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+0.274</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[0.213, 0.335]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2.9×10⁻²⁴</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0.0193</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0.0171</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dep_rel_cop</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+0.271</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[0.209, 0.333]</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9.3×10⁻²⁴</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0.0171</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0.0150</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r>
        <w:tc>
          <w:tcPr>
            <w:tcW w:type="dxa" w:w="17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L_Log_TTR</w:t>
            </w:r>
          </w:p>
        </w:tc>
        <w:tc>
          <w:tcPr>
            <w:tcW w:type="dxa" w:w="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-0.269</w:t>
            </w:r>
          </w:p>
        </w:tc>
        <w:tc>
          <w:tcPr>
            <w:tcW w:type="dxa" w:w="182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[-0.336, -0.205]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1.9×10⁻²⁶</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0.9275</w:t>
            </w:r>
          </w:p>
        </w:tc>
        <w:tc>
          <w:tcPr>
            <w:tcW w:type="dxa" w:w="13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0.9302</w:t>
            </w:r>
          </w:p>
        </w:tc>
        <w:tc>
          <w:tcPr>
            <w:tcW w:type="dxa" w:w="11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9C2A2A"/>
                <w:sz w:val="20"/>
                <w:szCs w:val="20"/>
              </w:rPr>
              <w:t xml:space="preserve">AI</w:t>
            </w:r>
          </w:p>
        </w:tc>
      </w:tr>
      <w:tr>
        <w:tc>
          <w:tcPr>
            <w:tcW w:type="dxa" w:w="17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Consolas" w:cs="Consolas" w:eastAsia="Consolas" w:hAnsi="Consolas"/>
                <w:sz w:val="18"/>
                <w:szCs w:val="18"/>
              </w:rPr>
              <w:t xml:space="preserve">n_tokens</w:t>
            </w:r>
          </w:p>
        </w:tc>
        <w:tc>
          <w:tcPr>
            <w:tcW w:type="dxa" w:w="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+0.246</w:t>
            </w:r>
          </w:p>
        </w:tc>
        <w:tc>
          <w:tcPr>
            <w:tcW w:type="dxa" w:w="182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sz w:val="20"/>
                <w:szCs w:val="20"/>
              </w:rPr>
              <w:t xml:space="preserve">[0.190, 0.305]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2.5×10⁻¹⁷</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399.5</w:t>
            </w:r>
          </w:p>
        </w:tc>
        <w:tc>
          <w:tcPr>
            <w:tcW w:type="dxa" w:w="13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390.0</w:t>
            </w:r>
          </w:p>
        </w:tc>
        <w:tc>
          <w:tcPr>
            <w:tcW w:type="dxa" w:w="11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center"/>
            </w:pPr>
            <w:r>
              <w:rPr>
                <w:rFonts w:ascii="Times New Roman" w:cs="Times New Roman" w:eastAsia="Times New Roman" w:hAnsi="Times New Roman"/>
                <w:color w:val="1F3864"/>
                <w:sz w:val="20"/>
                <w:szCs w:val="20"/>
              </w:rPr>
              <w:t xml:space="preserve">Human</w:t>
            </w:r>
          </w:p>
        </w:tc>
      </w:tr>
    </w:tbl>
    <w:p>
      <w:pPr>
        <w:spacing w:after="60" w:before="160"/>
        <w:jc w:val="center"/>
      </w:pPr>
      <w:r>
        <w:drawing>
          <wp:inline distT="0" distB="0" distL="0" distR="0">
            <wp:extent cx="4476750" cy="44767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76750"/>
                    </a:xfrm>
                    <a:prstGeom prst="rect">
                      <a:avLst/>
                    </a:prstGeom>
                  </pic:spPr>
                </pic:pic>
              </a:graphicData>
            </a:graphic>
          </wp:inline>
        </w:drawing>
      </w:r>
    </w:p>
    <w:p>
      <w:pPr>
        <w:spacing w:after="220" w:before="0"/>
        <w:ind w:left="360" w:right="360"/>
        <w:jc w:val="both"/>
      </w:pPr>
      <w:bookmarkStart w:name="fig3" w:id="1004"/>
      <w:r>
        <w:rPr>
          <w:rFonts w:ascii="Times New Roman" w:cs="Times New Roman" w:eastAsia="Times New Roman" w:hAnsi="Times New Roman"/>
          <w:b/>
          <w:bCs/>
          <w:sz w:val="20"/>
          <w:szCs w:val="20"/>
        </w:rPr>
        <w:t xml:space="preserve">Figure 3. </w:t>
      </w:r>
      <w:bookmarkEnd w:id="1004"/>
      <w:r>
        <w:rPr>
          <w:rFonts w:ascii="Times New Roman" w:cs="Times New Roman" w:eastAsia="Times New Roman" w:hAnsi="Times New Roman"/>
          <w:sz w:val="20"/>
          <w:szCs w:val="20"/>
        </w:rPr>
        <w:t xml:space="preserve">Human-versus-AI stylometric effect sizes. Cohen's d with 95% bootstrap confidence intervals for the most discriminative features; positive d denotes a higher value in human texts. Every interval lies inside the small-effect band (|d| &lt; 0.34), and no feature approaches a moderate effect.</w:t>
      </w:r>
    </w:p>
    <w:p>
      <w:pPr>
        <w:pStyle w:val="Heading3"/>
      </w:pPr>
      <w:r>
        <w:t xml:space="preserve">6.2.1  Lexical richness and morphological divergence</w:t>
      </w:r>
    </w:p>
    <w:p>
      <w:pPr>
        <w:spacing w:after="140" w:line="276" w:lineRule="auto"/>
        <w:jc w:val="both"/>
      </w:pPr>
      <w:r>
        <w:rPr>
          <w:rFonts w:ascii="Times New Roman" w:cs="Times New Roman" w:eastAsia="Times New Roman" w:hAnsi="Times New Roman"/>
          <w:sz w:val="22"/>
          <w:szCs w:val="22"/>
        </w:rPr>
        <w:t xml:space="preserve">The lexical-richness signal is consistent in direction but small in magnitude (</w:t>
      </w:r>
      <w:hyperlink w:history="1" w:anchor="fig4">
        <w:r>
          <w:rPr>
            <w:rFonts w:ascii="Times New Roman" w:cs="Times New Roman" w:eastAsia="Times New Roman" w:hAnsi="Times New Roman"/>
            <w:sz w:val="22"/>
            <w:szCs w:val="22"/>
          </w:rPr>
          <w:t xml:space="preserve">Figure 4</w:t>
        </w:r>
      </w:hyperlink>
      <w:r>
        <w:rPr>
          <w:rFonts w:ascii="Times New Roman" w:cs="Times New Roman" w:eastAsia="Times New Roman" w:hAnsi="Times New Roman"/>
          <w:sz w:val="22"/>
          <w:szCs w:val="22"/>
        </w:rPr>
        <w:t xml:space="preserve">). On a dedicated comparison of four diversity indices, the AI prose is the more diverse on every measure, yet only two reach a meaningful effect: the type-token ratio (</w:t>
      </w:r>
      <w:r>
        <w:rPr>
          <w:rFonts w:ascii="Consolas" w:cs="Consolas" w:eastAsia="Consolas" w:hAnsi="Consolas"/>
          <w:sz w:val="20"/>
          <w:szCs w:val="20"/>
        </w:rPr>
        <w:t xml:space="preserve">L_TTR</w:t>
      </w:r>
      <w:r>
        <w:rPr>
          <w:rFonts w:ascii="Times New Roman" w:cs="Times New Roman" w:eastAsia="Times New Roman" w:hAnsi="Times New Roman"/>
          <w:sz w:val="22"/>
          <w:szCs w:val="22"/>
        </w:rPr>
        <w:t xml:space="preserve"> d = −0.292; 0.660 in AI against 0.649 in humans) and the log type-token ratio (</w:t>
      </w:r>
      <w:r>
        <w:rPr>
          <w:rFonts w:ascii="Consolas" w:cs="Consolas" w:eastAsia="Consolas" w:hAnsi="Consolas"/>
          <w:sz w:val="20"/>
          <w:szCs w:val="20"/>
        </w:rPr>
        <w:t xml:space="preserve">L_Log_TTR</w:t>
      </w:r>
      <w:r>
        <w:rPr>
          <w:rFonts w:ascii="Times New Roman" w:cs="Times New Roman" w:eastAsia="Times New Roman" w:hAnsi="Times New Roman"/>
          <w:sz w:val="22"/>
          <w:szCs w:val="22"/>
        </w:rPr>
        <w:t xml:space="preserve"> d = −0.269; 0.930 against 0.927). Root type-token ratio is essentially tied (d = −0.069), and the raw count of hapax legomena does not differ at all (d = −0.029; 202.8 against 202.1 words occurring once per chunk). The richer-vocabulary effect is therefore real but confined to the normalised ratios; humans and models deploy almost exactly the same number of once-occurring word forms per chunk.</w:t>
      </w:r>
    </w:p>
    <w:p>
      <w:pPr>
        <w:spacing w:after="60" w:before="160"/>
        <w:jc w:val="center"/>
      </w:pPr>
      <w:r>
        <w:drawing>
          <wp:inline distT="0" distB="0" distL="0" distR="0">
            <wp:extent cx="5334000" cy="46005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00575"/>
                    </a:xfrm>
                    <a:prstGeom prst="rect">
                      <a:avLst/>
                    </a:prstGeom>
                  </pic:spPr>
                </pic:pic>
              </a:graphicData>
            </a:graphic>
          </wp:inline>
        </w:drawing>
      </w:r>
    </w:p>
    <w:p>
      <w:pPr>
        <w:spacing w:after="220" w:before="0"/>
        <w:ind w:left="360" w:right="360"/>
        <w:jc w:val="both"/>
      </w:pPr>
      <w:bookmarkStart w:name="fig4" w:id="1005"/>
      <w:r>
        <w:rPr>
          <w:rFonts w:ascii="Times New Roman" w:cs="Times New Roman" w:eastAsia="Times New Roman" w:hAnsi="Times New Roman"/>
          <w:b/>
          <w:bCs/>
          <w:sz w:val="20"/>
          <w:szCs w:val="20"/>
        </w:rPr>
        <w:t xml:space="preserve">Figure 4. </w:t>
      </w:r>
      <w:bookmarkEnd w:id="1005"/>
      <w:r>
        <w:rPr>
          <w:rFonts w:ascii="Times New Roman" w:cs="Times New Roman" w:eastAsia="Times New Roman" w:hAnsi="Times New Roman"/>
          <w:sz w:val="20"/>
          <w:szCs w:val="20"/>
        </w:rPr>
        <w:t xml:space="preserve">Lexical-richness comparison across the human, Claude 4.8 and GPT-5.5 subcorpora. Box plots (top) and normalised group means (bottom) for the type-token ratio, hapax-legomena count and root type-token ratio. AI prose is marginally more diverse on the type-token ratios, while the raw hapax count is essentially identical to human prose.</w:t>
      </w:r>
    </w:p>
    <w:p>
      <w:pPr>
        <w:spacing w:after="140" w:line="276" w:lineRule="auto"/>
        <w:jc w:val="both"/>
      </w:pPr>
      <w:r>
        <w:rPr>
          <w:rFonts w:ascii="Times New Roman" w:cs="Times New Roman" w:eastAsia="Times New Roman" w:hAnsi="Times New Roman"/>
          <w:sz w:val="22"/>
          <w:szCs w:val="22"/>
        </w:rPr>
        <w:t xml:space="preserve">Turning from the lexical to the morphological level, the Jensen-Shannon divergence between human and AI distributions shows that the largest deviations are in verbal mood rather than in case. Across authors, mood distributions diverge an order of magnitude more than case distributions, and the two are essentially uncorrelated (Pearson r = −0.03), so they capture distinct facets of the mismatch. The mood divergence is strongly modulated by condition (</w:t>
      </w:r>
      <w:hyperlink w:history="1" w:anchor="fig5">
        <w:r>
          <w:rPr>
            <w:rFonts w:ascii="Times New Roman" w:cs="Times New Roman" w:eastAsia="Times New Roman" w:hAnsi="Times New Roman"/>
            <w:sz w:val="22"/>
            <w:szCs w:val="22"/>
          </w:rPr>
          <w:t xml:space="preserve">Figure 5</w:t>
        </w:r>
      </w:hyperlink>
      <w:r>
        <w:rPr>
          <w:rFonts w:ascii="Times New Roman" w:cs="Times New Roman" w:eastAsia="Times New Roman" w:hAnsi="Times New Roman"/>
          <w:sz w:val="22"/>
          <w:szCs w:val="22"/>
        </w:rPr>
        <w:t xml:space="preserve">): it is largest under GPT-5.5 Free, peaking at Lysias (JS = 1.06×10⁻³) and Lycurgus (8.97×10⁻⁴), and smallest under Claude 4.8 Restricted, falling to 3.7×10⁻⁶ for Demosthenes, exactly the ordering seen in the detectability results below. Case divergence follows the same pattern at a lower overall level. The orators whose verbal-mood profile is hardest for the models to reproduce are Hyperides (3.8×10⁻⁴) and Lysias (3.5×10⁻⁴), both relatively under-represented authors, which suggests that scarce training signal, rather than any intrinsic property of the style, drives the residual divergence.</w:t>
      </w:r>
    </w:p>
    <w:p>
      <w:pPr>
        <w:spacing w:after="60" w:before="160"/>
        <w:jc w:val="center"/>
      </w:pPr>
      <w:r>
        <w:drawing>
          <wp:inline distT="0" distB="0" distL="0" distR="0">
            <wp:extent cx="5715000" cy="3381375"/>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81375"/>
                    </a:xfrm>
                    <a:prstGeom prst="rect">
                      <a:avLst/>
                    </a:prstGeom>
                  </pic:spPr>
                </pic:pic>
              </a:graphicData>
            </a:graphic>
          </wp:inline>
        </w:drawing>
      </w:r>
    </w:p>
    <w:p>
      <w:pPr>
        <w:spacing w:after="220" w:before="0"/>
        <w:ind w:left="360" w:right="360"/>
        <w:jc w:val="both"/>
      </w:pPr>
      <w:bookmarkStart w:name="fig5" w:id="1006"/>
      <w:r>
        <w:rPr>
          <w:rFonts w:ascii="Times New Roman" w:cs="Times New Roman" w:eastAsia="Times New Roman" w:hAnsi="Times New Roman"/>
          <w:b/>
          <w:bCs/>
          <w:sz w:val="20"/>
          <w:szCs w:val="20"/>
        </w:rPr>
        <w:t xml:space="preserve">Figure 5. </w:t>
      </w:r>
      <w:bookmarkEnd w:id="1006"/>
      <w:r>
        <w:rPr>
          <w:rFonts w:ascii="Times New Roman" w:cs="Times New Roman" w:eastAsia="Times New Roman" w:hAnsi="Times New Roman"/>
          <w:sz w:val="20"/>
          <w:szCs w:val="20"/>
        </w:rPr>
        <w:t xml:space="preserve">Jensen-Shannon divergence between human and AI verbal-mood distributions, resolved by author (columns) and by system × prompt condition (rows). Divergence is largest for GPT-5.5 under the Free prompt, peaking at Lysias and Lycurgus, and collapses toward zero for Claude 4.8 under the Restricted prompt.</w:t>
      </w:r>
    </w:p>
    <w:p>
      <w:pPr>
        <w:pStyle w:val="Heading2"/>
      </w:pPr>
      <w:r>
        <w:t xml:space="preserve">6.3  Effect of system and prompting regime</w:t>
      </w:r>
    </w:p>
    <w:p>
      <w:pPr>
        <w:spacing w:after="140" w:line="276" w:lineRule="auto"/>
        <w:jc w:val="both"/>
      </w:pPr>
      <w:r>
        <w:rPr>
          <w:rFonts w:ascii="Times New Roman" w:cs="Times New Roman" w:eastAsia="Times New Roman" w:hAnsi="Times New Roman"/>
          <w:sz w:val="22"/>
          <w:szCs w:val="22"/>
        </w:rPr>
        <w:t xml:space="preserve">The contrast sharpens markedly when the AI texts are partitioned by system and by prompt. The system contrast (GPT-5.5 against Claude 4.8) yields 52 FDR-significant features, and the prompt contrast (Restricted against Free) yields 54. Both exceed the 36 features that separate the pooled Human-versus-AI comparison, which means that the choice of model, and especially of prompting regime, moves the texts at least as much as the human/machine distinction itself.</w:t>
      </w:r>
    </w:p>
    <w:p>
      <w:pPr>
        <w:spacing w:after="140" w:line="276" w:lineRule="auto"/>
        <w:jc w:val="both"/>
      </w:pPr>
      <w:r>
        <w:rPr>
          <w:rFonts w:ascii="Times New Roman" w:cs="Times New Roman" w:eastAsia="Times New Roman" w:hAnsi="Times New Roman"/>
          <w:sz w:val="22"/>
          <w:szCs w:val="22"/>
        </w:rPr>
        <w:t xml:space="preserve">The prompt effect points consistently toward the Restricted regime being the closer to human (</w:t>
      </w:r>
      <w:hyperlink w:history="1" w:anchor="fig6">
        <w:r>
          <w:rPr>
            <w:rFonts w:ascii="Times New Roman" w:cs="Times New Roman" w:eastAsia="Times New Roman" w:hAnsi="Times New Roman"/>
            <w:sz w:val="22"/>
            <w:szCs w:val="22"/>
          </w:rPr>
          <w:t xml:space="preserve">Figure 6</w:t>
        </w:r>
      </w:hyperlink>
      <w:r>
        <w:rPr>
          <w:rFonts w:ascii="Times New Roman" w:cs="Times New Roman" w:eastAsia="Times New Roman" w:hAnsi="Times New Roman"/>
          <w:sz w:val="22"/>
          <w:szCs w:val="22"/>
        </w:rPr>
        <w:t xml:space="preserve">). Restricted rewrites are longer (400.4 against 379.6 tokens, so the Restricted mean matches the human 399.5 almost exactly), carry longer sentences (20.8 against 19.1 words, against the human 21.5), and show a lexical diversity nearer the human value (</w:t>
      </w:r>
      <w:r>
        <w:rPr>
          <w:rFonts w:ascii="Consolas" w:cs="Consolas" w:eastAsia="Consolas" w:hAnsi="Consolas"/>
          <w:sz w:val="20"/>
          <w:szCs w:val="20"/>
        </w:rPr>
        <w:t xml:space="preserve">L_MTLD</w:t>
      </w:r>
      <w:r>
        <w:rPr>
          <w:rFonts w:ascii="Times New Roman" w:cs="Times New Roman" w:eastAsia="Times New Roman" w:hAnsi="Times New Roman"/>
          <w:sz w:val="22"/>
          <w:szCs w:val="22"/>
        </w:rPr>
        <w:t xml:space="preserve"> 209.2 against 232.1 for Free, with the human value at 208.5). Free rewrites diverge further on all three axes. The author-centroid distances confirm this ordering and add a system effect: the mean Canberra distance from the human authors is lowest for Claude 4.8 (12.83 Free, 12.85 Restricted) and highest for GPT-5.5 Free (13.21), with GPT-5.5 Restricted (12.89) in between. Claude 4.8 is thus closer to human style overall, and Restricted prompting narrows the gap most for GPT-5.5.</w:t>
      </w:r>
    </w:p>
    <w:p>
      <w:pPr>
        <w:spacing w:after="60" w:before="160"/>
        <w:jc w:val="center"/>
      </w:pPr>
      <w:r>
        <w:drawing>
          <wp:inline distT="0" distB="0" distL="0" distR="0">
            <wp:extent cx="5143500" cy="426720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267200"/>
                    </a:xfrm>
                    <a:prstGeom prst="rect">
                      <a:avLst/>
                    </a:prstGeom>
                  </pic:spPr>
                </pic:pic>
              </a:graphicData>
            </a:graphic>
          </wp:inline>
        </w:drawing>
      </w:r>
    </w:p>
    <w:p>
      <w:pPr>
        <w:spacing w:after="220" w:before="0"/>
        <w:ind w:left="360" w:right="360"/>
        <w:jc w:val="both"/>
      </w:pPr>
      <w:bookmarkStart w:name="fig6" w:id="1007"/>
      <w:r>
        <w:rPr>
          <w:rFonts w:ascii="Times New Roman" w:cs="Times New Roman" w:eastAsia="Times New Roman" w:hAnsi="Times New Roman"/>
          <w:b/>
          <w:bCs/>
          <w:sz w:val="20"/>
          <w:szCs w:val="20"/>
        </w:rPr>
        <w:t xml:space="preserve">Figure 6. </w:t>
      </w:r>
      <w:bookmarkEnd w:id="1007"/>
      <w:r>
        <w:rPr>
          <w:rFonts w:ascii="Times New Roman" w:cs="Times New Roman" w:eastAsia="Times New Roman" w:hAnsi="Times New Roman"/>
          <w:sz w:val="20"/>
          <w:szCs w:val="20"/>
        </w:rPr>
        <w:t xml:space="preserve">Free-versus-Restricted feature effect sizes (top 20 features by mean |d|). Bars give Cohen's d relative to human prose for each prompting regime. The Restricted regime moves consistently toward human values on length, sentence length, lexical density and lexical diversity, whereas Free rewrites diverge further on the same axes.</w:t>
      </w:r>
    </w:p>
    <w:p>
      <w:pPr>
        <w:pStyle w:val="Heading2"/>
      </w:pPr>
      <w:r>
        <w:t xml:space="preserve">6.4  Dimensionality reduction and clustering</w:t>
      </w:r>
    </w:p>
    <w:p>
      <w:pPr>
        <w:spacing w:after="140" w:line="276" w:lineRule="auto"/>
        <w:jc w:val="both"/>
      </w:pPr>
      <w:r>
        <w:rPr>
          <w:rFonts w:ascii="Times New Roman" w:cs="Times New Roman" w:eastAsia="Times New Roman" w:hAnsi="Times New Roman"/>
          <w:sz w:val="22"/>
          <w:szCs w:val="22"/>
        </w:rPr>
        <w:t xml:space="preserve">Both linear projection and unsupervised clustering confirm a heavy overlap between human and machine texts. In a principal-component analysis of the standardised feature matrix, the Human and AI chunks form a single overlapping cloud rather than distinct clusters (</w:t>
      </w:r>
      <w:hyperlink w:history="1" w:anchor="fig7">
        <w:r>
          <w:rPr>
            <w:rFonts w:ascii="Times New Roman" w:cs="Times New Roman" w:eastAsia="Times New Roman" w:hAnsi="Times New Roman"/>
            <w:sz w:val="22"/>
            <w:szCs w:val="22"/>
          </w:rPr>
          <w:t xml:space="preserve">Figure 7</w:t>
        </w:r>
      </w:hyperlink>
      <w:r>
        <w:rPr>
          <w:rFonts w:ascii="Times New Roman" w:cs="Times New Roman" w:eastAsia="Times New Roman" w:hAnsi="Times New Roman"/>
          <w:sz w:val="22"/>
          <w:szCs w:val="22"/>
        </w:rPr>
        <w:t xml:space="preserve">). The first two components carry very little of the structure (PC1 explains about 13% and PC2 about 9% of the total variance), so even together they account for under a quarter of the variation, and neither axis separates Human from AI, the two systems, or the two prompts. k-means clustering gives a near-zero silhouette for the Human-versus-AI split (0.009 on stylometric features and 0.013 on embeddings), and the silhouettes by condition are similarly weak (highest for GPT-5.5 Free at 0.025 and negative for Claude 4.8 Restricted at −0.023). The separation is real but faint.</w:t>
      </w:r>
    </w:p>
    <w:p>
      <w:pPr>
        <w:spacing w:after="60" w:before="160"/>
        <w:jc w:val="center"/>
      </w:pPr>
      <w:r>
        <w:drawing>
          <wp:inline distT="0" distB="0" distL="0" distR="0">
            <wp:extent cx="5943600" cy="1847850"/>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47850"/>
                    </a:xfrm>
                    <a:prstGeom prst="rect">
                      <a:avLst/>
                    </a:prstGeom>
                  </pic:spPr>
                </pic:pic>
              </a:graphicData>
            </a:graphic>
          </wp:inline>
        </w:drawing>
      </w:r>
    </w:p>
    <w:p>
      <w:pPr>
        <w:spacing w:after="220" w:before="0"/>
        <w:ind w:left="360" w:right="360"/>
        <w:jc w:val="both"/>
      </w:pPr>
      <w:bookmarkStart w:name="fig7" w:id="1008"/>
      <w:r>
        <w:rPr>
          <w:rFonts w:ascii="Times New Roman" w:cs="Times New Roman" w:eastAsia="Times New Roman" w:hAnsi="Times New Roman"/>
          <w:b/>
          <w:bCs/>
          <w:sz w:val="20"/>
          <w:szCs w:val="20"/>
        </w:rPr>
        <w:t xml:space="preserve">Figure 7. </w:t>
      </w:r>
      <w:bookmarkEnd w:id="1008"/>
      <w:r>
        <w:rPr>
          <w:rFonts w:ascii="Times New Roman" w:cs="Times New Roman" w:eastAsia="Times New Roman" w:hAnsi="Times New Roman"/>
          <w:sz w:val="20"/>
          <w:szCs w:val="20"/>
        </w:rPr>
        <w:t xml:space="preserve">Principal-component projection of the standardised feature matrix, coloured by (A) human versus AI, (B) system and (C) prompting regime. PC1 and PC2 together explain under a quarter of the variance (about 13% and 9%, respectively). Human and AI chunks form one overlapping cloud under every partition, with no axis separating the classes.</w:t>
      </w:r>
    </w:p>
    <w:p>
      <w:pPr>
        <w:pStyle w:val="Heading2"/>
      </w:pPr>
      <w:r>
        <w:t xml:space="preserve">6.5  Detectability</w:t>
      </w:r>
    </w:p>
    <w:p>
      <w:pPr>
        <w:spacing w:after="140" w:line="276" w:lineRule="auto"/>
        <w:jc w:val="both"/>
      </w:pPr>
      <w:r>
        <w:rPr>
          <w:rFonts w:ascii="Times New Roman" w:cs="Times New Roman" w:eastAsia="Times New Roman" w:hAnsi="Times New Roman"/>
          <w:sz w:val="22"/>
          <w:szCs w:val="22"/>
        </w:rPr>
        <w:t xml:space="preserve">A Human-versus-AI classifier trained on the 69 stylometric features (logistic regression, GroupKFold by author) reaches AUROC 0.701 with a Brier score of 0.152 (</w:t>
      </w:r>
      <w:hyperlink w:history="1" w:anchor="fig8">
        <w:r>
          <w:rPr>
            <w:rFonts w:ascii="Times New Roman" w:cs="Times New Roman" w:eastAsia="Times New Roman" w:hAnsi="Times New Roman"/>
            <w:sz w:val="22"/>
            <w:szCs w:val="22"/>
          </w:rPr>
          <w:t xml:space="preserve">Figure 8</w:t>
        </w:r>
      </w:hyperlink>
      <w:r>
        <w:rPr>
          <w:rFonts w:ascii="Times New Roman" w:cs="Times New Roman" w:eastAsia="Times New Roman" w:hAnsi="Times New Roman"/>
          <w:sz w:val="22"/>
          <w:szCs w:val="22"/>
        </w:rPr>
        <w:t xml:space="preserve">). Document embeddings are somewhat more discriminative: an Ancient-Greek-BERT classifier reaches AUROC 0.745 and the more recent GreBerta encoder 0.710 (</w:t>
      </w:r>
      <w:hyperlink w:history="1" w:anchor="fig9">
        <w:r>
          <w:rPr>
            <w:rFonts w:ascii="Times New Roman" w:cs="Times New Roman" w:eastAsia="Times New Roman" w:hAnsi="Times New Roman"/>
            <w:sz w:val="22"/>
            <w:szCs w:val="22"/>
          </w:rPr>
          <w:t xml:space="preserve">Figure 9</w:t>
        </w:r>
      </w:hyperlink>
      <w:r>
        <w:rPr>
          <w:rFonts w:ascii="Times New Roman" w:cs="Times New Roman" w:eastAsia="Times New Roman" w:hAnsi="Times New Roman"/>
          <w:sz w:val="22"/>
          <w:szCs w:val="22"/>
        </w:rPr>
        <w:t xml:space="preserve">). Ancient-Greek-BERT also yields a slightly larger mean cosine distance from the human centroid (0.566 against 0.546) and a marginally better silhouette (0.013 against 0.003). The faintness of the gap is visible directly in the embedding space: t-SNE and UMAP projections of the Ancient-Greek-BERT vectors show the human chunks dispersed throughout the AI cloud rather than occupying a separate region (</w:t>
      </w:r>
      <w:hyperlink w:history="1" w:anchor="fig10">
        <w:r>
          <w:rPr>
            <w:rFonts w:ascii="Times New Roman" w:cs="Times New Roman" w:eastAsia="Times New Roman" w:hAnsi="Times New Roman"/>
            <w:sz w:val="22"/>
            <w:szCs w:val="22"/>
          </w:rPr>
          <w:t xml:space="preserve">Figure 10</w:t>
        </w:r>
      </w:hyperlink>
      <w:r>
        <w:rPr>
          <w:rFonts w:ascii="Times New Roman" w:cs="Times New Roman" w:eastAsia="Times New Roman" w:hAnsi="Times New Roman"/>
          <w:sz w:val="22"/>
          <w:szCs w:val="22"/>
        </w:rPr>
        <w:t xml:space="preserve">). Human and AI Ancient Greek are therefore distinguishable but only modestly, with AUROC in the 0.70 to 0.75 range rather than near the ceiling.</w:t>
      </w:r>
    </w:p>
    <w:p>
      <w:pPr>
        <w:spacing w:after="60" w:before="160"/>
        <w:jc w:val="center"/>
      </w:pPr>
      <w:r>
        <w:drawing>
          <wp:inline distT="0" distB="0" distL="0" distR="0">
            <wp:extent cx="5143500" cy="285750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20" w:before="0"/>
        <w:ind w:left="360" w:right="360"/>
        <w:jc w:val="both"/>
      </w:pPr>
      <w:bookmarkStart w:name="fig8" w:id="1009"/>
      <w:r>
        <w:rPr>
          <w:rFonts w:ascii="Times New Roman" w:cs="Times New Roman" w:eastAsia="Times New Roman" w:hAnsi="Times New Roman"/>
          <w:b/>
          <w:bCs/>
          <w:sz w:val="20"/>
          <w:szCs w:val="20"/>
        </w:rPr>
        <w:t xml:space="preserve">Figure 8. </w:t>
      </w:r>
      <w:bookmarkEnd w:id="1009"/>
      <w:r>
        <w:rPr>
          <w:rFonts w:ascii="Times New Roman" w:cs="Times New Roman" w:eastAsia="Times New Roman" w:hAnsi="Times New Roman"/>
          <w:sz w:val="20"/>
          <w:szCs w:val="20"/>
        </w:rPr>
        <w:t xml:space="preserve">Receiver-operating-characteristic curve of the Human-versus-AI stylometric classifier (logistic regression with author-grouped five-fold cross-validation). The classifier reaches AUROC 0.701, clearly above chance but far from ceiling.</w:t>
      </w:r>
    </w:p>
    <w:p>
      <w:pPr>
        <w:spacing w:after="60" w:before="160"/>
        <w:jc w:val="center"/>
      </w:pPr>
      <w:r>
        <w:drawing>
          <wp:inline distT="0" distB="0" distL="0" distR="0">
            <wp:extent cx="5943600" cy="2219325"/>
            <wp:effectExtent t="0" r="0" b="0" l="0"/>
            <wp:docPr id="1"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19325"/>
                    </a:xfrm>
                    <a:prstGeom prst="rect">
                      <a:avLst/>
                    </a:prstGeom>
                  </pic:spPr>
                </pic:pic>
              </a:graphicData>
            </a:graphic>
          </wp:inline>
        </w:drawing>
      </w:r>
    </w:p>
    <w:p>
      <w:pPr>
        <w:spacing w:after="220" w:before="0"/>
        <w:ind w:left="360" w:right="360"/>
        <w:jc w:val="both"/>
      </w:pPr>
      <w:bookmarkStart w:name="fig9" w:id="1010"/>
      <w:r>
        <w:rPr>
          <w:rFonts w:ascii="Times New Roman" w:cs="Times New Roman" w:eastAsia="Times New Roman" w:hAnsi="Times New Roman"/>
          <w:b/>
          <w:bCs/>
          <w:sz w:val="20"/>
          <w:szCs w:val="20"/>
        </w:rPr>
        <w:t xml:space="preserve">Figure 9. </w:t>
      </w:r>
      <w:bookmarkEnd w:id="1010"/>
      <w:r>
        <w:rPr>
          <w:rFonts w:ascii="Times New Roman" w:cs="Times New Roman" w:eastAsia="Times New Roman" w:hAnsi="Times New Roman"/>
          <w:sz w:val="20"/>
          <w:szCs w:val="20"/>
        </w:rPr>
        <w:t xml:space="preserve">Detectability from document embeddings versus stylometric features. (A) ROC curves and (B) AUROC and Brier scores for a classifier trained on 50-dimensional Ancient-Greek-BERT embeddings (AUROC 0.745) and on the stylometric feature set (AUROC 0.701). Embeddings are slightly more discriminative, but both remain well below ceiling.</w:t>
      </w:r>
    </w:p>
    <w:p>
      <w:pPr>
        <w:spacing w:after="60" w:before="160"/>
        <w:jc w:val="center"/>
      </w:pPr>
      <w:r>
        <w:drawing>
          <wp:inline distT="0" distB="0" distL="0" distR="0">
            <wp:extent cx="5715000" cy="2047875"/>
            <wp:effectExtent t="0" r="0" b="0" l="0"/>
            <wp:docPr id="1" name="Figure 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47875"/>
                    </a:xfrm>
                    <a:prstGeom prst="rect">
                      <a:avLst/>
                    </a:prstGeom>
                  </pic:spPr>
                </pic:pic>
              </a:graphicData>
            </a:graphic>
          </wp:inline>
        </w:drawing>
      </w:r>
    </w:p>
    <w:p>
      <w:pPr>
        <w:spacing w:after="220" w:before="0"/>
        <w:ind w:left="360" w:right="360"/>
        <w:jc w:val="both"/>
      </w:pPr>
      <w:bookmarkStart w:name="fig10" w:id="1011"/>
      <w:r>
        <w:rPr>
          <w:rFonts w:ascii="Times New Roman" w:cs="Times New Roman" w:eastAsia="Times New Roman" w:hAnsi="Times New Roman"/>
          <w:b/>
          <w:bCs/>
          <w:sz w:val="20"/>
          <w:szCs w:val="20"/>
        </w:rPr>
        <w:t xml:space="preserve">Figure 10. </w:t>
      </w:r>
      <w:bookmarkEnd w:id="1011"/>
      <w:r>
        <w:rPr>
          <w:rFonts w:ascii="Times New Roman" w:cs="Times New Roman" w:eastAsia="Times New Roman" w:hAnsi="Times New Roman"/>
          <w:sz w:val="20"/>
          <w:szCs w:val="20"/>
        </w:rPr>
        <w:t xml:space="preserve">t-SNE (A) and UMAP (B) projections of the Ancient-Greek-BERT document embeddings, coloured by human versus AI. Human chunks are dispersed throughout the AI cloud rather than forming a separate region, mirroring the modest classifier performance.</w:t>
      </w:r>
    </w:p>
    <w:p>
      <w:pPr>
        <w:spacing w:after="140" w:line="276" w:lineRule="auto"/>
        <w:jc w:val="both"/>
      </w:pPr>
      <w:r>
        <w:rPr>
          <w:rFonts w:ascii="Times New Roman" w:cs="Times New Roman" w:eastAsia="Times New Roman" w:hAnsi="Times New Roman"/>
          <w:sz w:val="22"/>
          <w:szCs w:val="22"/>
        </w:rPr>
        <w:t xml:space="preserve">Detectability is strongly modulated by condition (</w:t>
      </w:r>
      <w:hyperlink w:history="1" w:anchor="fig11">
        <w:r>
          <w:rPr>
            <w:rFonts w:ascii="Times New Roman" w:cs="Times New Roman" w:eastAsia="Times New Roman" w:hAnsi="Times New Roman"/>
            <w:sz w:val="22"/>
            <w:szCs w:val="22"/>
          </w:rPr>
          <w:t xml:space="preserve">Figure 11</w:t>
        </w:r>
      </w:hyperlink>
      <w:r>
        <w:rPr>
          <w:rFonts w:ascii="Times New Roman" w:cs="Times New Roman" w:eastAsia="Times New Roman" w:hAnsi="Times New Roman"/>
          <w:sz w:val="22"/>
          <w:szCs w:val="22"/>
        </w:rPr>
        <w:t xml:space="preserve">, </w:t>
      </w:r>
      <w:hyperlink w:history="1" w:anchor="tab3">
        <w:r>
          <w:rPr>
            <w:rFonts w:ascii="Times New Roman" w:cs="Times New Roman" w:eastAsia="Times New Roman" w:hAnsi="Times New Roman"/>
            <w:sz w:val="22"/>
            <w:szCs w:val="22"/>
          </w:rPr>
          <w:t xml:space="preserve">Table 3</w:t>
        </w:r>
      </w:hyperlink>
      <w:r>
        <w:rPr>
          <w:rFonts w:ascii="Times New Roman" w:cs="Times New Roman" w:eastAsia="Times New Roman" w:hAnsi="Times New Roman"/>
          <w:sz w:val="22"/>
          <w:szCs w:val="22"/>
        </w:rPr>
        <w:t xml:space="preserve">). Free rewrites are far easier to flag than Restricted ones, and GPT-5.5 is easier than Claude 4.8: the per-condition AUROC is 0.945 for GPT-5.5 Free, 0.720 for Claude 4.8 Free, 0.681 for GPT-5.5 Restricted, and only 0.516, essentially chance, for Claude 4.8 Restricted. The most human-like configuration, Claude 4.8 under the Restricted prompt, is thus nearly indistinguishable from genuine Attic prose by a stylometric classifier.</w:t>
      </w:r>
    </w:p>
    <w:p>
      <w:pPr>
        <w:spacing w:after="60" w:before="160"/>
        <w:jc w:val="center"/>
      </w:pPr>
      <w:r>
        <w:drawing>
          <wp:inline distT="0" distB="0" distL="0" distR="0">
            <wp:extent cx="5905500" cy="2124075"/>
            <wp:effectExtent t="0" r="0" b="0" l="0"/>
            <wp:docPr id="1" name="Figure 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124075"/>
                    </a:xfrm>
                    <a:prstGeom prst="rect">
                      <a:avLst/>
                    </a:prstGeom>
                  </pic:spPr>
                </pic:pic>
              </a:graphicData>
            </a:graphic>
          </wp:inline>
        </w:drawing>
      </w:r>
    </w:p>
    <w:p>
      <w:pPr>
        <w:spacing w:after="220" w:before="0"/>
        <w:ind w:left="360" w:right="360"/>
        <w:jc w:val="both"/>
      </w:pPr>
      <w:bookmarkStart w:name="fig11" w:id="1012"/>
      <w:r>
        <w:rPr>
          <w:rFonts w:ascii="Times New Roman" w:cs="Times New Roman" w:eastAsia="Times New Roman" w:hAnsi="Times New Roman"/>
          <w:b/>
          <w:bCs/>
          <w:sz w:val="20"/>
          <w:szCs w:val="20"/>
        </w:rPr>
        <w:t xml:space="preserve">Figure 11. </w:t>
      </w:r>
      <w:bookmarkEnd w:id="1012"/>
      <w:r>
        <w:rPr>
          <w:rFonts w:ascii="Times New Roman" w:cs="Times New Roman" w:eastAsia="Times New Roman" w:hAnsi="Times New Roman"/>
          <w:sz w:val="20"/>
          <w:szCs w:val="20"/>
        </w:rPr>
        <w:t xml:space="preserve">Detectability by system × prompt. (A) Per-condition AUROC and (B) Brier score for the stylometric classifier. Detectability ranges from 0.945 for GPT-5.5 Free down to 0.516, essentially chance, for Claude 4.8 Restricted.</w:t>
      </w:r>
    </w:p>
    <w:p>
      <w:pPr>
        <w:spacing w:after="140" w:line="276" w:lineRule="auto"/>
        <w:jc w:val="both"/>
      </w:pPr>
      <w:r>
        <w:rPr>
          <w:rFonts w:ascii="Times New Roman" w:cs="Times New Roman" w:eastAsia="Times New Roman" w:hAnsi="Times New Roman"/>
          <w:sz w:val="22"/>
          <w:szCs w:val="22"/>
        </w:rPr>
        <w:t xml:space="preserve">An independent composite separation metric tells the same story. Combining the most discriminative features into a single composite score and measuring the standardised gap between the human and AI predictions per condition, the separation is largest for GPT-5.5 Free (0.673), much smaller for Claude 4.8 Free (0.208) and GPT-5.5 Restricted (0.147), and effectively absent for Claude 4.8 Restricted (0.003). Three independent lenses, a supervised classifier, the morphological Jensen-Shannon divergence, and the composite separation score, thus converge on the same condition ordering (</w:t>
      </w:r>
      <w:hyperlink w:history="1" w:anchor="tab3">
        <w:r>
          <w:rPr>
            <w:rFonts w:ascii="Times New Roman" w:cs="Times New Roman" w:eastAsia="Times New Roman" w:hAnsi="Times New Roman"/>
            <w:sz w:val="22"/>
            <w:szCs w:val="22"/>
          </w:rPr>
          <w:t xml:space="preserve">Table 3</w:t>
        </w:r>
      </w:hyperlink>
      <w:r>
        <w:rPr>
          <w:rFonts w:ascii="Times New Roman" w:cs="Times New Roman" w:eastAsia="Times New Roman" w:hAnsi="Times New Roman"/>
          <w:sz w:val="22"/>
          <w:szCs w:val="22"/>
        </w:rPr>
        <w:t xml:space="preserve">), which is strong evidence that the effect is a property of the generated texts rather than of any single modelling choice.</w:t>
      </w:r>
    </w:p>
    <w:p>
      <w:pPr>
        <w:spacing w:after="80" w:before="160"/>
        <w:jc w:val="both"/>
      </w:pPr>
      <w:bookmarkStart w:name="tab3" w:id="1013"/>
      <w:r>
        <w:rPr>
          <w:rFonts w:ascii="Times New Roman" w:cs="Times New Roman" w:eastAsia="Times New Roman" w:hAnsi="Times New Roman"/>
          <w:b/>
          <w:bCs/>
          <w:sz w:val="20"/>
          <w:szCs w:val="20"/>
        </w:rPr>
        <w:t xml:space="preserve">Table 3. </w:t>
      </w:r>
      <w:bookmarkEnd w:id="1013"/>
      <w:r>
        <w:rPr>
          <w:rFonts w:ascii="Times New Roman" w:cs="Times New Roman" w:eastAsia="Times New Roman" w:hAnsi="Times New Roman"/>
          <w:sz w:val="20"/>
          <w:szCs w:val="20"/>
        </w:rPr>
        <w:t xml:space="preserve">Convergent evidence on detectability by condition. Four independent measures, the stylometric-classifier AUROC, the verbal-mood Jensen-Shannon divergence, the composite separation score, and the k-means silhouette, agree on the same ordering, from the trivially detectable GPT-5.5 Free to the near-indistinguishable Claude 4.8 Restricted. Starred JSD entries give the per-condition extrema (Lysias for GPT-5.5 Free; Demosthenes for Claude 4.8 Restricted); dashes denote conditions not at an extremum.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left"/>
            </w:pPr>
            <w:r>
              <w:rPr>
                <w:rFonts w:ascii="Times New Roman" w:cs="Times New Roman" w:eastAsia="Times New Roman" w:hAnsi="Times New Roman"/>
                <w:b/>
                <w:bCs/>
                <w:color w:val="FFFFFF"/>
                <w:sz w:val="20"/>
                <w:szCs w:val="20"/>
              </w:rPr>
              <w:t xml:space="preserve">Condition</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Classifier AUROC</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Mood JSD</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Composite separation</w:t>
            </w:r>
          </w:p>
        </w:tc>
        <w:tc>
          <w:tcPr>
            <w:tcW w:type="dxa" w:w="166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vAlign w:val="center"/>
          </w:tcPr>
          <w:p>
            <w:pPr>
              <w:spacing w:after="0"/>
              <w:jc w:val="right"/>
            </w:pPr>
            <w:r>
              <w:rPr>
                <w:rFonts w:ascii="Times New Roman" w:cs="Times New Roman" w:eastAsia="Times New Roman" w:hAnsi="Times New Roman"/>
                <w:b/>
                <w:bCs/>
                <w:color w:val="FFFFFF"/>
                <w:sz w:val="20"/>
                <w:szCs w:val="20"/>
              </w:rPr>
              <w:t xml:space="preserve">Silhouette</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GPT-5.5, Free</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0.945</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1.06×10⁻³ *</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0.673</w:t>
            </w:r>
          </w:p>
        </w:tc>
        <w:tc>
          <w:tcPr>
            <w:tcW w:type="dxa" w:w="16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+0.025</w:t>
            </w:r>
          </w:p>
        </w:tc>
      </w:tr>
      <w:tr>
        <w:tc>
          <w:tcPr>
            <w:tcW w:type="dxa" w:w="26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Claude 4.8, Free</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0.720</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0.208</w:t>
            </w:r>
          </w:p>
        </w:tc>
        <w:tc>
          <w:tcPr>
            <w:tcW w:type="dxa" w:w="16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-0.002</w:t>
            </w:r>
          </w:p>
        </w:tc>
      </w:tr>
      <w:tr>
        <w:tc>
          <w:tcPr>
            <w:tcW w:type="dxa" w:w="26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GPT-5.5, Restricted</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0.681</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w:t>
            </w:r>
          </w:p>
        </w:tc>
        <w:tc>
          <w:tcPr>
            <w:tcW w:type="dxa" w:w="170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0.147</w:t>
            </w:r>
          </w:p>
        </w:tc>
        <w:tc>
          <w:tcPr>
            <w:tcW w:type="dxa" w:w="1660"/>
            <w:tcBorders>
              <w:top w:val="single" w:color="BBBBBB" w:sz="1"/>
              <w:left w:val="single" w:color="BBBBBB" w:sz="1"/>
              <w:bottom w:val="single" w:color="BBBBBB" w:sz="1"/>
              <w:right w:val="single" w:color="BBBBBB" w:sz="1"/>
            </w:tcBorders>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-0.015</w:t>
            </w:r>
          </w:p>
        </w:tc>
      </w:tr>
      <w:tr>
        <w:tc>
          <w:tcPr>
            <w:tcW w:type="dxa" w:w="26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left"/>
            </w:pPr>
            <w:r>
              <w:rPr>
                <w:rFonts w:ascii="Times New Roman" w:cs="Times New Roman" w:eastAsia="Times New Roman" w:hAnsi="Times New Roman"/>
                <w:sz w:val="20"/>
                <w:szCs w:val="20"/>
              </w:rPr>
              <w:t xml:space="preserve">Claude 4.8, Restricted</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b/>
                <w:bCs/>
                <w:sz w:val="20"/>
                <w:szCs w:val="20"/>
              </w:rPr>
              <w:t xml:space="preserve">0.516</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3.7×10⁻⁶ *</w:t>
            </w:r>
          </w:p>
        </w:tc>
        <w:tc>
          <w:tcPr>
            <w:tcW w:type="dxa" w:w="170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0.003</w:t>
            </w:r>
          </w:p>
        </w:tc>
        <w:tc>
          <w:tcPr>
            <w:tcW w:type="dxa" w:w="1660"/>
            <w:tcBorders>
              <w:top w:val="single" w:color="BBBBBB" w:sz="1"/>
              <w:left w:val="single" w:color="BBBBBB" w:sz="1"/>
              <w:bottom w:val="single" w:color="BBBBBB" w:sz="1"/>
              <w:right w:val="single" w:color="BBBBBB" w:sz="1"/>
            </w:tcBorders>
            <w:shd w:fill="F2F5FB" w:color="auto" w:val="clear"/>
            <w:tcMar>
              <w:top w:type="dxa" w:w="50"/>
              <w:left w:type="dxa" w:w="110"/>
              <w:bottom w:type="dxa" w:w="50"/>
              <w:right w:type="dxa" w:w="110"/>
            </w:tcMar>
            <w:vAlign w:val="center"/>
          </w:tcPr>
          <w:p>
            <w:pPr>
              <w:spacing w:after="0"/>
              <w:jc w:val="right"/>
            </w:pPr>
            <w:r>
              <w:rPr>
                <w:rFonts w:ascii="Times New Roman" w:cs="Times New Roman" w:eastAsia="Times New Roman" w:hAnsi="Times New Roman"/>
                <w:sz w:val="20"/>
                <w:szCs w:val="20"/>
              </w:rPr>
              <w:t xml:space="preserve">-0.023</w:t>
            </w:r>
          </w:p>
        </w:tc>
      </w:tr>
    </w:tbl>
    <w:p>
      <w:pPr>
        <w:pStyle w:val="Heading2"/>
      </w:pPr>
      <w:r>
        <w:t xml:space="preserve">6.6  Per-author imitability</w:t>
      </w:r>
    </w:p>
    <w:p>
      <w:pPr>
        <w:spacing w:after="140" w:line="276" w:lineRule="auto"/>
        <w:jc w:val="both"/>
      </w:pPr>
      <w:r>
        <w:rPr>
          <w:rFonts w:ascii="Times New Roman" w:cs="Times New Roman" w:eastAsia="Times New Roman" w:hAnsi="Times New Roman"/>
          <w:sz w:val="22"/>
          <w:szCs w:val="22"/>
        </w:rPr>
        <w:t xml:space="preserve">Across the AI texts, the orators differ in how closely the models approach their style (</w:t>
      </w:r>
      <w:hyperlink w:history="1" w:anchor="fig12">
        <w:r>
          <w:rPr>
            <w:rFonts w:ascii="Times New Roman" w:cs="Times New Roman" w:eastAsia="Times New Roman" w:hAnsi="Times New Roman"/>
            <w:sz w:val="22"/>
            <w:szCs w:val="22"/>
          </w:rPr>
          <w:t xml:space="preserve">Figure 12</w:t>
        </w:r>
      </w:hyperlink>
      <w:r>
        <w:rPr>
          <w:rFonts w:ascii="Times New Roman" w:cs="Times New Roman" w:eastAsia="Times New Roman" w:hAnsi="Times New Roman"/>
          <w:sz w:val="22"/>
          <w:szCs w:val="22"/>
        </w:rPr>
        <w:t xml:space="preserve">). By Canberra distance the AI rewrites land closest to Dinarchus (11.86), Lycurgus (12.14) and Lysias (12.20), and farthest from Isocrates (14.50) and Antiphon (14.09); the cosine metric agrees that Antiphon is the hardest author to imitate. The two extremes are instructive. Isocrates, with his famously long, periodic and rhythmically governed sentences, and Antiphon, the earliest and most idiosyncratic of the orators, both sit at the edge of the stylistic space the models can reach, whereas the plainer styles cluster near the centre and are approached most easily.</w:t>
      </w:r>
    </w:p>
    <w:p>
      <w:pPr>
        <w:spacing w:after="60" w:before="160"/>
        <w:jc w:val="center"/>
      </w:pPr>
      <w:r>
        <w:drawing>
          <wp:inline distT="0" distB="0" distL="0" distR="0">
            <wp:extent cx="5715000" cy="3590925"/>
            <wp:effectExtent t="0" r="0" b="0" l="0"/>
            <wp:docPr id="1" name="Figure 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90925"/>
                    </a:xfrm>
                    <a:prstGeom prst="rect">
                      <a:avLst/>
                    </a:prstGeom>
                  </pic:spPr>
                </pic:pic>
              </a:graphicData>
            </a:graphic>
          </wp:inline>
        </w:drawing>
      </w:r>
    </w:p>
    <w:p>
      <w:pPr>
        <w:spacing w:after="220" w:before="0"/>
        <w:ind w:left="360" w:right="360"/>
        <w:jc w:val="both"/>
      </w:pPr>
      <w:bookmarkStart w:name="fig12" w:id="1014"/>
      <w:r>
        <w:rPr>
          <w:rFonts w:ascii="Times New Roman" w:cs="Times New Roman" w:eastAsia="Times New Roman" w:hAnsi="Times New Roman"/>
          <w:b/>
          <w:bCs/>
          <w:sz w:val="20"/>
          <w:szCs w:val="20"/>
        </w:rPr>
        <w:t xml:space="preserve">Figure 12. </w:t>
      </w:r>
      <w:bookmarkEnd w:id="1014"/>
      <w:r>
        <w:rPr>
          <w:rFonts w:ascii="Times New Roman" w:cs="Times New Roman" w:eastAsia="Times New Roman" w:hAnsi="Times New Roman"/>
          <w:sz w:val="20"/>
          <w:szCs w:val="20"/>
        </w:rPr>
        <w:t xml:space="preserve">Distance of AI rewrites from each orator's stylometric centroid. The upper panels rank the orators under the cosine, Canberra and Euclidean metrics; the lower heat-map places all four metrics on a common normalised scale. The models approach Dinarchus, Lycurgus and Lysias most closely and Isocrates and Antiphon least.</w:t>
      </w:r>
    </w:p>
    <w:p>
      <w:pPr>
        <w:pStyle w:val="Heading2"/>
      </w:pPr>
      <w:r>
        <w:t xml:space="preserve">6.7  Synthesis</w:t>
      </w:r>
    </w:p>
    <w:p>
      <w:pPr>
        <w:spacing w:after="140" w:line="276" w:lineRule="auto"/>
        <w:jc w:val="both"/>
      </w:pPr>
      <w:r>
        <w:rPr>
          <w:rFonts w:ascii="Times New Roman" w:cs="Times New Roman" w:eastAsia="Times New Roman" w:hAnsi="Times New Roman"/>
          <w:sz w:val="22"/>
          <w:szCs w:val="22"/>
        </w:rPr>
        <w:t xml:space="preserve">Taken together, the results draw a coherent picture. At the level of individual features the human/machine difference is pervasive but uniformly small (36 of 69 estimable features are FDR-significant, all with |d| &lt; 0.34; </w:t>
      </w:r>
      <w:hyperlink w:history="1" w:anchor="fig3">
        <w:r>
          <w:rPr>
            <w:rFonts w:ascii="Times New Roman" w:cs="Times New Roman" w:eastAsia="Times New Roman" w:hAnsi="Times New Roman"/>
            <w:sz w:val="22"/>
            <w:szCs w:val="22"/>
          </w:rPr>
          <w:t xml:space="preserve">Figure 3</w:t>
        </w:r>
      </w:hyperlink>
      <w:r>
        <w:rPr>
          <w:rFonts w:ascii="Times New Roman" w:cs="Times New Roman" w:eastAsia="Times New Roman" w:hAnsi="Times New Roman"/>
          <w:sz w:val="22"/>
          <w:szCs w:val="22"/>
        </w:rPr>
        <w:t xml:space="preserve">), and it is dominated by a single stylistic axis: the models write denser, more lexically varied and more finely segmented prose, while the orators write longer, more periphrastic sentences. This faint signal is precisely why unsupervised projection and clustering fail to separate the classes (</w:t>
      </w:r>
      <w:hyperlink w:history="1" w:anchor="fig7">
        <w:r>
          <w:rPr>
            <w:rFonts w:ascii="Times New Roman" w:cs="Times New Roman" w:eastAsia="Times New Roman" w:hAnsi="Times New Roman"/>
            <w:sz w:val="22"/>
            <w:szCs w:val="22"/>
          </w:rPr>
          <w:t xml:space="preserve">Figure 7</w:t>
        </w:r>
      </w:hyperlink>
      <w:r>
        <w:rPr>
          <w:rFonts w:ascii="Times New Roman" w:cs="Times New Roman" w:eastAsia="Times New Roman" w:hAnsi="Times New Roman"/>
          <w:sz w:val="22"/>
          <w:szCs w:val="22"/>
        </w:rPr>
        <w:t xml:space="preserve">) and why both the stylometric and the embedding classifiers plateau in the AUROC 0.70 to 0.75 range. Yet the pooled comparison conceals a sharp internal gradient: model choice and especially prompting regime move the texts at least as much as the human/AI contrast (52 and 54 significant features, respectively), and the same ordering, Restricted closer to human and Claude closer than GPT, recurs across author-centroid distance, mood and case divergence, the composite separation score, and per-condition detectability. The most controlled configuration, Claude 4.8 under the Restricted prompt, is statistically indistinguishable from genuine Attic oratory (AUROC 0.516, separation 0.003), whereas the freest configuration, GPT-5.5 Free, is trivially detectable (AUROC 0.945). State-of-the-art large language models can therefore produce Ancient Greek that is stylometrically very close to the human source, but only when the prompt actively constrains them toward the source's length, segmentation and register.</w:t>
      </w:r>
    </w:p>
    <w:p>
      <w:pPr>
        <w:pStyle w:val="Heading2"/>
      </w:pPr>
      <w:r>
        <w:t xml:space="preserve">References (methods and tools)</w:t>
      </w:r>
    </w:p>
    <w:p>
      <w:pPr>
        <w:spacing w:after="120"/>
      </w:pPr>
      <w:r>
        <w:rPr>
          <w:rFonts w:ascii="Times New Roman" w:cs="Times New Roman" w:eastAsia="Times New Roman" w:hAnsi="Times New Roman"/>
          <w:i/>
          <w:iCs/>
          <w:sz w:val="22"/>
          <w:szCs w:val="22"/>
        </w:rPr>
        <w:t xml:space="preserve">The following entries document the tools and statistical methods cited in the Methods and Results above and are intended for incorporation into the manuscript bibliography.</w:t>
      </w:r>
    </w:p>
    <w:p>
      <w:pPr>
        <w:spacing w:after="80" w:line="252" w:lineRule="auto"/>
        <w:ind w:left="360" w:hanging="360"/>
      </w:pPr>
      <w:r>
        <w:rPr>
          <w:rFonts w:ascii="Times New Roman" w:cs="Times New Roman" w:eastAsia="Times New Roman" w:hAnsi="Times New Roman"/>
          <w:sz w:val="20"/>
          <w:szCs w:val="20"/>
        </w:rPr>
        <w:t xml:space="preserve">Benjamini, Y., &amp; Hochberg, Y. (1995).</w:t>
      </w:r>
      <w:r>
        <w:rPr>
          <w:rFonts w:ascii="Times New Roman" w:cs="Times New Roman" w:eastAsia="Times New Roman" w:hAnsi="Times New Roman"/>
          <w:sz w:val="20"/>
          <w:szCs w:val="20"/>
        </w:rPr>
        <w:t xml:space="preserve"> Controlling the false discovery rate: a practical and powerful approach to multiple testing. Journal of the Royal Statistical Society: Series B, 57(1), 289–300.</w:t>
      </w:r>
    </w:p>
    <w:p>
      <w:pPr>
        <w:spacing w:after="80" w:line="252" w:lineRule="auto"/>
        <w:ind w:left="360" w:hanging="360"/>
      </w:pPr>
      <w:r>
        <w:rPr>
          <w:rFonts w:ascii="Times New Roman" w:cs="Times New Roman" w:eastAsia="Times New Roman" w:hAnsi="Times New Roman"/>
          <w:sz w:val="20"/>
          <w:szCs w:val="20"/>
        </w:rPr>
        <w:t xml:space="preserve">Cohen, J. (1988).</w:t>
      </w:r>
      <w:r>
        <w:rPr>
          <w:rFonts w:ascii="Times New Roman" w:cs="Times New Roman" w:eastAsia="Times New Roman" w:hAnsi="Times New Roman"/>
          <w:sz w:val="20"/>
          <w:szCs w:val="20"/>
        </w:rPr>
        <w:t xml:space="preserve"> Statistical Power Analysis for the Behavioral Sciences (2nd ed.). Lawrence Erlbaum Associates.</w:t>
      </w:r>
    </w:p>
    <w:p>
      <w:pPr>
        <w:spacing w:after="80" w:line="252" w:lineRule="auto"/>
        <w:ind w:left="360" w:hanging="360"/>
      </w:pPr>
      <w:r>
        <w:rPr>
          <w:rFonts w:ascii="Times New Roman" w:cs="Times New Roman" w:eastAsia="Times New Roman" w:hAnsi="Times New Roman"/>
          <w:sz w:val="20"/>
          <w:szCs w:val="20"/>
        </w:rPr>
        <w:t xml:space="preserve">Haug, D. T. T., &amp; Jøhndal, M. L. (2008).</w:t>
      </w:r>
      <w:r>
        <w:rPr>
          <w:rFonts w:ascii="Times New Roman" w:cs="Times New Roman" w:eastAsia="Times New Roman" w:hAnsi="Times New Roman"/>
          <w:sz w:val="20"/>
          <w:szCs w:val="20"/>
        </w:rPr>
        <w:t xml:space="preserve"> Creating a parallel treebank of the old Indo-European Bible translations (PROIEL). In Proceedings of the LREC Workshop on Language Technology for Cultural Heritage Data.</w:t>
      </w:r>
    </w:p>
    <w:p>
      <w:pPr>
        <w:spacing w:after="80" w:line="252" w:lineRule="auto"/>
        <w:ind w:left="360" w:hanging="360"/>
      </w:pPr>
      <w:r>
        <w:rPr>
          <w:rFonts w:ascii="Times New Roman" w:cs="Times New Roman" w:eastAsia="Times New Roman" w:hAnsi="Times New Roman"/>
          <w:sz w:val="20"/>
          <w:szCs w:val="20"/>
        </w:rPr>
        <w:t xml:space="preserve">Lin, J. (1991).</w:t>
      </w:r>
      <w:r>
        <w:rPr>
          <w:rFonts w:ascii="Times New Roman" w:cs="Times New Roman" w:eastAsia="Times New Roman" w:hAnsi="Times New Roman"/>
          <w:sz w:val="20"/>
          <w:szCs w:val="20"/>
        </w:rPr>
        <w:t xml:space="preserve"> Divergence measures based on the Shannon entropy. IEEE Transactions on Information Theory, 37(1), 145–151.</w:t>
      </w:r>
    </w:p>
    <w:p>
      <w:pPr>
        <w:spacing w:after="80" w:line="252" w:lineRule="auto"/>
        <w:ind w:left="360" w:hanging="360"/>
      </w:pPr>
      <w:r>
        <w:rPr>
          <w:rFonts w:ascii="Times New Roman" w:cs="Times New Roman" w:eastAsia="Times New Roman" w:hAnsi="Times New Roman"/>
          <w:sz w:val="20"/>
          <w:szCs w:val="20"/>
        </w:rPr>
        <w:t xml:space="preserve">McCarthy, P. M., &amp; Jarvis, S. (2010).</w:t>
      </w:r>
      <w:r>
        <w:rPr>
          <w:rFonts w:ascii="Times New Roman" w:cs="Times New Roman" w:eastAsia="Times New Roman" w:hAnsi="Times New Roman"/>
          <w:sz w:val="20"/>
          <w:szCs w:val="20"/>
        </w:rPr>
        <w:t xml:space="preserve"> MTLD, vocd-D, and HD-D: a validation study of sophisticated approaches to lexical diversity assessment. Behavior Research Methods, 42(2), 381–392.</w:t>
      </w:r>
    </w:p>
    <w:p>
      <w:pPr>
        <w:spacing w:after="80" w:line="252" w:lineRule="auto"/>
        <w:ind w:left="360" w:hanging="360"/>
      </w:pPr>
      <w:r>
        <w:rPr>
          <w:rFonts w:ascii="Times New Roman" w:cs="Times New Roman" w:eastAsia="Times New Roman" w:hAnsi="Times New Roman"/>
          <w:sz w:val="20"/>
          <w:szCs w:val="20"/>
        </w:rPr>
        <w:t xml:space="preserve">McInnes, L., Healy, J., &amp; Melville, J. (2018).</w:t>
      </w:r>
      <w:r>
        <w:rPr>
          <w:rFonts w:ascii="Times New Roman" w:cs="Times New Roman" w:eastAsia="Times New Roman" w:hAnsi="Times New Roman"/>
          <w:sz w:val="20"/>
          <w:szCs w:val="20"/>
        </w:rPr>
        <w:t xml:space="preserve"> UMAP: Uniform Manifold Approximation and Projection for dimension reduction. arXiv:1802.03426.</w:t>
      </w:r>
    </w:p>
    <w:p>
      <w:pPr>
        <w:spacing w:after="80" w:line="252" w:lineRule="auto"/>
        <w:ind w:left="360" w:hanging="360"/>
      </w:pPr>
      <w:r>
        <w:rPr>
          <w:rFonts w:ascii="Times New Roman" w:cs="Times New Roman" w:eastAsia="Times New Roman" w:hAnsi="Times New Roman"/>
          <w:sz w:val="20"/>
          <w:szCs w:val="20"/>
        </w:rPr>
        <w:t xml:space="preserve">Pedregosa, F., et al. (2011).</w:t>
      </w:r>
      <w:r>
        <w:rPr>
          <w:rFonts w:ascii="Times New Roman" w:cs="Times New Roman" w:eastAsia="Times New Roman" w:hAnsi="Times New Roman"/>
          <w:sz w:val="20"/>
          <w:szCs w:val="20"/>
        </w:rPr>
        <w:t xml:space="preserve"> Scikit-learn: machine learning in Python. Journal of Machine Learning Research, 12, 2825–2830.</w:t>
      </w:r>
    </w:p>
    <w:p>
      <w:pPr>
        <w:spacing w:after="80" w:line="252" w:lineRule="auto"/>
        <w:ind w:left="360" w:hanging="360"/>
      </w:pPr>
      <w:r>
        <w:rPr>
          <w:rFonts w:ascii="Times New Roman" w:cs="Times New Roman" w:eastAsia="Times New Roman" w:hAnsi="Times New Roman"/>
          <w:sz w:val="20"/>
          <w:szCs w:val="20"/>
        </w:rPr>
        <w:t xml:space="preserve">Qi, P., Zhang, Y., Zhang, Y., Bolton, J., &amp; Manning, C. D. (2020).</w:t>
      </w:r>
      <w:r>
        <w:rPr>
          <w:rFonts w:ascii="Times New Roman" w:cs="Times New Roman" w:eastAsia="Times New Roman" w:hAnsi="Times New Roman"/>
          <w:sz w:val="20"/>
          <w:szCs w:val="20"/>
        </w:rPr>
        <w:t xml:space="preserve"> Stanza: a Python natural language processing toolkit for many human languages. In Proceedings of ACL 2020: System Demonstrations, 101–108.</w:t>
      </w:r>
    </w:p>
    <w:p>
      <w:pPr>
        <w:spacing w:after="80" w:line="252" w:lineRule="auto"/>
        <w:ind w:left="360" w:hanging="360"/>
      </w:pPr>
      <w:r>
        <w:rPr>
          <w:rFonts w:ascii="Times New Roman" w:cs="Times New Roman" w:eastAsia="Times New Roman" w:hAnsi="Times New Roman"/>
          <w:sz w:val="20"/>
          <w:szCs w:val="20"/>
        </w:rPr>
        <w:t xml:space="preserve">Riemenschneider, F., &amp; Frank, A. (2023).</w:t>
      </w:r>
      <w:r>
        <w:rPr>
          <w:rFonts w:ascii="Times New Roman" w:cs="Times New Roman" w:eastAsia="Times New Roman" w:hAnsi="Times New Roman"/>
          <w:sz w:val="20"/>
          <w:szCs w:val="20"/>
        </w:rPr>
        <w:t xml:space="preserve"> Exploring large language models for classical philology. In Proceedings of ACL 2023, 15181–15199. (GreBerta / bowphs encoders.)</w:t>
      </w:r>
    </w:p>
    <w:p>
      <w:pPr>
        <w:spacing w:after="80" w:line="252" w:lineRule="auto"/>
        <w:ind w:left="360" w:hanging="360"/>
      </w:pPr>
      <w:r>
        <w:rPr>
          <w:rFonts w:ascii="Times New Roman" w:cs="Times New Roman" w:eastAsia="Times New Roman" w:hAnsi="Times New Roman"/>
          <w:sz w:val="20"/>
          <w:szCs w:val="20"/>
        </w:rPr>
        <w:t xml:space="preserve">Seabold, S., &amp; Perktold, J. (2010).</w:t>
      </w:r>
      <w:r>
        <w:rPr>
          <w:rFonts w:ascii="Times New Roman" w:cs="Times New Roman" w:eastAsia="Times New Roman" w:hAnsi="Times New Roman"/>
          <w:sz w:val="20"/>
          <w:szCs w:val="20"/>
        </w:rPr>
        <w:t xml:space="preserve"> Statsmodels: econometric and statistical modeling with Python. In Proceedings of the 9th Python in Science Conference, 92–96.</w:t>
      </w:r>
    </w:p>
    <w:p>
      <w:pPr>
        <w:spacing w:after="80" w:line="252" w:lineRule="auto"/>
        <w:ind w:left="360" w:hanging="360"/>
      </w:pPr>
      <w:r>
        <w:rPr>
          <w:rFonts w:ascii="Times New Roman" w:cs="Times New Roman" w:eastAsia="Times New Roman" w:hAnsi="Times New Roman"/>
          <w:sz w:val="20"/>
          <w:szCs w:val="20"/>
        </w:rPr>
        <w:t xml:space="preserve">Singh, P., Rutten, G., &amp; Lefever, E. (2021).</w:t>
      </w:r>
      <w:r>
        <w:rPr>
          <w:rFonts w:ascii="Times New Roman" w:cs="Times New Roman" w:eastAsia="Times New Roman" w:hAnsi="Times New Roman"/>
          <w:sz w:val="20"/>
          <w:szCs w:val="20"/>
        </w:rPr>
        <w:t xml:space="preserve"> A pilot study for BERT language modelling and morphological analysis for ancient and medieval Greek. In Proceedings of the 5th Joint SIGHUM Workshop (LaTeCH-CLfL), 128–137. (Ancient-Greek-BERT.)</w:t>
      </w:r>
    </w:p>
    <w:p>
      <w:pPr>
        <w:spacing w:after="80" w:line="252" w:lineRule="auto"/>
        <w:ind w:left="360" w:hanging="360"/>
      </w:pPr>
      <w:r>
        <w:rPr>
          <w:rFonts w:ascii="Times New Roman" w:cs="Times New Roman" w:eastAsia="Times New Roman" w:hAnsi="Times New Roman"/>
          <w:sz w:val="20"/>
          <w:szCs w:val="20"/>
        </w:rPr>
        <w:t xml:space="preserve">van der Maaten, L., &amp; Hinton, G. (2008).</w:t>
      </w:r>
      <w:r>
        <w:rPr>
          <w:rFonts w:ascii="Times New Roman" w:cs="Times New Roman" w:eastAsia="Times New Roman" w:hAnsi="Times New Roman"/>
          <w:sz w:val="20"/>
          <w:szCs w:val="20"/>
        </w:rPr>
        <w:t xml:space="preserve"> Visualizing data using t-SNE. Journal of Machine Learning Research, 9, 2579–2605.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Mikros — Methods and Results  ·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888888"/>
        <w:sz w:val="16"/>
        <w:szCs w:val="16"/>
      </w:rPr>
      <w:t xml:space="preserve">How Well Do State-of-the-Art LLMs Write Ancient Greek?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4"/>
      </w:pBdr>
      <w:spacing w:after="16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80"/>
      <w:outlineLvl w:val="2"/>
    </w:pPr>
    <w:rPr>
      <w:rFonts w:ascii="Calibri" w:cs="Calibri" w:eastAsia="Calibri" w:hAnsi="Calibri"/>
      <w:b/>
      <w:bCs/>
      <w:i/>
      <w:i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67c3384eab7ff138db8c11e54137d743d62101.png"/><Relationship Id="rId10" Type="http://schemas.openxmlformats.org/officeDocument/2006/relationships/image" Target="media/ad887eac014ef4e36ebcd8baf45f9a9d7945c4f3.png"/><Relationship Id="rId11" Type="http://schemas.openxmlformats.org/officeDocument/2006/relationships/image" Target="media/46281d29a682b2590528bac6716a7c015ab64396.png"/><Relationship Id="rId12" Type="http://schemas.openxmlformats.org/officeDocument/2006/relationships/image" Target="media/74eec8501d846a67db70aa2ab8fb6f338a1a76d1.png"/><Relationship Id="rId13" Type="http://schemas.openxmlformats.org/officeDocument/2006/relationships/image" Target="media/cb762c94f30633e54a6b70e493c6fc6bacdf41ce.png"/><Relationship Id="rId14" Type="http://schemas.openxmlformats.org/officeDocument/2006/relationships/image" Target="media/9520bcef0380adc51918a94a021c9e4c18088656.png"/><Relationship Id="rId15" Type="http://schemas.openxmlformats.org/officeDocument/2006/relationships/image" Target="media/271de0d4478b525b9bb04b01906be59260363387.png"/><Relationship Id="rId16" Type="http://schemas.openxmlformats.org/officeDocument/2006/relationships/image" Target="media/f9f7e80966d81ef7e26b7eca9efb20c1c1a8911c.png"/><Relationship Id="rId17" Type="http://schemas.openxmlformats.org/officeDocument/2006/relationships/image" Target="media/3e2cf16f8f0ecc4b7812cc1e48b68d011b4f923a.png"/><Relationship Id="rId18" Type="http://schemas.openxmlformats.org/officeDocument/2006/relationships/image" Target="media/54d59c0f157a0bce009380f49c38ee6e8c29cecc.png"/><Relationship Id="rId19" Type="http://schemas.openxmlformats.org/officeDocument/2006/relationships/image" Target="media/d80787fe242cda62b96bec101416ada272c8d5d8.png"/><Relationship Id="rId20" Type="http://schemas.openxmlformats.org/officeDocument/2006/relationships/image" Target="media/1551a94cddd9d3fc6ad47bd2a867d255379b54d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Ancient Greek LLM Stylometry — Methods and Results</dc:title>
  <dc:creator>George Mikros</dc:creator>
  <cp:lastModifiedBy>Un-named</cp:lastModifiedBy>
  <cp:revision>1</cp:revision>
  <dcterms:created xsi:type="dcterms:W3CDTF">2026-06-02T18:17:27.265Z</dcterms:created>
  <dcterms:modified xsi:type="dcterms:W3CDTF">2026-06-02T18:17:27.269Z</dcterms:modified>
</cp:coreProperties>
</file>

<file path=docProps/custom.xml><?xml version="1.0" encoding="utf-8"?>
<Properties xmlns="http://schemas.openxmlformats.org/officeDocument/2006/custom-properties" xmlns:vt="http://schemas.openxmlformats.org/officeDocument/2006/docPropsVTypes"/>
</file>