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Data Center Infrastructure and Vertiv Research</w:t>
      </w:r>
    </w:p>
    <w:p>
      <w:pPr>
        <w:spacing w:after="80"/>
      </w:pPr>
      <w:r>
        <w:rPr>
          <w:rFonts w:ascii="Arial" w:hAnsi="Arial"/>
          <w:b/>
          <w:color w:val="595959"/>
          <w:sz w:val="24"/>
        </w:rPr>
        <w:t>Industry and company review</w:t>
      </w:r>
    </w:p>
    <w:p>
      <w:pPr>
        <w:spacing w:after="280"/>
      </w:pPr>
      <w:r>
        <w:rPr>
          <w:rFonts w:ascii="Arial" w:hAnsi="Arial"/>
          <w:color w:val="595959"/>
          <w:sz w:val="20"/>
        </w:rPr>
        <w:t>Gabriel Mildner  |  September 2026</w:t>
      </w:r>
    </w:p>
    <w:p>
      <w:pPr>
        <w:pStyle w:val="Heading1"/>
      </w:pPr>
      <w:r>
        <w:rPr>
          <w:rFonts w:ascii="Arial" w:hAnsi="Arial"/>
        </w:rPr>
        <w:t>Main Finding</w:t>
      </w:r>
    </w:p>
    <w:p>
      <w:r>
        <w:rPr>
          <w:rFonts w:ascii="Arial" w:hAnsi="Arial"/>
          <w:b/>
        </w:rPr>
        <w:t xml:space="preserve">AI growth is increasing demand for the physical equipment that keeps data centers running. </w:t>
      </w:r>
      <w:r>
        <w:rPr>
          <w:rFonts w:ascii="Arial" w:hAnsi="Arial"/>
        </w:rPr>
        <w:t>Higher computing density requires more electrical capacity, thermal management, and monitoring. Vertiv is positioned in these areas through its power, cooling, modular infrastructure, and service products. The company benefits from the industry trend, but the investment case still depends on execution, customer spending, and valuation.</w:t>
      </w:r>
    </w:p>
    <w:p>
      <w:pPr>
        <w:pStyle w:val="Heading1"/>
      </w:pPr>
      <w:r>
        <w:rPr>
          <w:rFonts w:ascii="Arial" w:hAnsi="Arial"/>
        </w:rPr>
        <w:t>Industry Overview</w:t>
      </w:r>
    </w:p>
    <w:p>
      <w:r>
        <w:rPr>
          <w:rFonts w:ascii="Arial" w:hAnsi="Arial"/>
        </w:rPr>
        <w:t>A data center includes more than servers and semiconductors. It also needs power distribution, backup power, cooling, controls, and ongoing maintenance. These systems become more important as AI and high performance computing raise the amount of power used in each rack. Vertiv states that rack densities are moving toward one megawatt in some advanced applications, which puts pressure on older facility designs [1].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3528"/>
        <w:gridCol w:w="4320"/>
      </w:tblGrid>
      <w:tr>
        <w:trPr>
          <w:tblHeader w:val="true"/>
        </w:trPr>
        <w:tc>
          <w:tcPr>
            <w:tcW w:type="dxa" w:w="3312"/>
            <w:shd w:fill="17365D"/>
            <w:vAlign w:val="center"/>
            <w:tcMar>
              <w:top w:w="100" w:type="dxa"/>
              <w:start w:w="120" w:type="dxa"/>
              <w:bottom w:w="100" w:type="dxa"/>
              <w:end w:w="120" w:type="dxa"/>
            </w:tcMar>
          </w:tcPr>
          <w:p>
            <w:pPr>
              <w:jc w:val="center"/>
            </w:pPr>
            <w:r>
              <w:rPr>
                <w:rFonts w:ascii="Arial" w:hAnsi="Arial"/>
                <w:b/>
                <w:color w:val="FFFFFF"/>
                <w:sz w:val="19"/>
              </w:rPr>
              <w:t>Industry Driver</w:t>
            </w:r>
          </w:p>
        </w:tc>
        <w:tc>
          <w:tcPr>
            <w:tcW w:type="dxa" w:w="3312"/>
            <w:shd w:fill="17365D"/>
            <w:vAlign w:val="center"/>
            <w:tcMar>
              <w:top w:w="100" w:type="dxa"/>
              <w:start w:w="120" w:type="dxa"/>
              <w:bottom w:w="100" w:type="dxa"/>
              <w:end w:w="120" w:type="dxa"/>
            </w:tcMar>
          </w:tcPr>
          <w:p>
            <w:pPr>
              <w:jc w:val="center"/>
            </w:pPr>
            <w:r>
              <w:rPr>
                <w:rFonts w:ascii="Arial" w:hAnsi="Arial"/>
                <w:b/>
                <w:color w:val="FFFFFF"/>
                <w:sz w:val="19"/>
              </w:rPr>
              <w:t>Effect on Data Centers</w:t>
            </w:r>
          </w:p>
        </w:tc>
        <w:tc>
          <w:tcPr>
            <w:tcW w:type="dxa" w:w="3312"/>
            <w:shd w:fill="17365D"/>
            <w:vAlign w:val="center"/>
            <w:tcMar>
              <w:top w:w="100" w:type="dxa"/>
              <w:start w:w="120" w:type="dxa"/>
              <w:bottom w:w="100" w:type="dxa"/>
              <w:end w:w="120" w:type="dxa"/>
            </w:tcMar>
          </w:tcPr>
          <w:p>
            <w:pPr>
              <w:jc w:val="center"/>
            </w:pPr>
            <w:r>
              <w:rPr>
                <w:rFonts w:ascii="Arial" w:hAnsi="Arial"/>
                <w:b/>
                <w:color w:val="FFFFFF"/>
                <w:sz w:val="19"/>
              </w:rPr>
              <w:t>Reason It Matters</w:t>
            </w:r>
          </w:p>
        </w:tc>
      </w:tr>
      <w:tr>
        <w:tc>
          <w:tcPr>
            <w:tcW w:type="dxa" w:w="2232"/>
            <w:vAlign w:val="center"/>
            <w:tcMar>
              <w:top w:w="100" w:type="dxa"/>
              <w:start w:w="120" w:type="dxa"/>
              <w:bottom w:w="100" w:type="dxa"/>
              <w:end w:w="120" w:type="dxa"/>
            </w:tcMar>
          </w:tcPr>
          <w:p>
            <w:r>
              <w:rPr>
                <w:rFonts w:ascii="Arial" w:hAnsi="Arial"/>
                <w:sz w:val="18"/>
              </w:rPr>
              <w:t>AI computing</w:t>
            </w:r>
          </w:p>
        </w:tc>
        <w:tc>
          <w:tcPr>
            <w:tcW w:type="dxa" w:w="3528"/>
            <w:vAlign w:val="center"/>
            <w:tcMar>
              <w:top w:w="100" w:type="dxa"/>
              <w:start w:w="120" w:type="dxa"/>
              <w:bottom w:w="100" w:type="dxa"/>
              <w:end w:w="120" w:type="dxa"/>
            </w:tcMar>
          </w:tcPr>
          <w:p>
            <w:r>
              <w:rPr>
                <w:rFonts w:ascii="Arial" w:hAnsi="Arial"/>
                <w:sz w:val="18"/>
              </w:rPr>
              <w:t>Raises rack density and electricity use</w:t>
            </w:r>
          </w:p>
        </w:tc>
        <w:tc>
          <w:tcPr>
            <w:tcW w:type="dxa" w:w="4320"/>
            <w:vAlign w:val="center"/>
            <w:tcMar>
              <w:top w:w="100" w:type="dxa"/>
              <w:start w:w="120" w:type="dxa"/>
              <w:bottom w:w="100" w:type="dxa"/>
              <w:end w:w="120" w:type="dxa"/>
            </w:tcMar>
          </w:tcPr>
          <w:p>
            <w:r>
              <w:rPr>
                <w:rFonts w:ascii="Arial" w:hAnsi="Arial"/>
                <w:sz w:val="18"/>
              </w:rPr>
              <w:t>Creates demand for upgraded power and cooling systems</w:t>
            </w:r>
          </w:p>
        </w:tc>
      </w:tr>
      <w:tr>
        <w:tc>
          <w:tcPr>
            <w:tcW w:type="dxa" w:w="2232"/>
            <w:vAlign w:val="center"/>
            <w:tcMar>
              <w:top w:w="100" w:type="dxa"/>
              <w:start w:w="120" w:type="dxa"/>
              <w:bottom w:w="100" w:type="dxa"/>
              <w:end w:w="120" w:type="dxa"/>
            </w:tcMar>
            <w:shd w:fill="EAF2F8"/>
          </w:tcPr>
          <w:p>
            <w:r>
              <w:rPr>
                <w:rFonts w:ascii="Arial" w:hAnsi="Arial"/>
                <w:sz w:val="18"/>
              </w:rPr>
              <w:t>Liquid cooling</w:t>
            </w:r>
          </w:p>
        </w:tc>
        <w:tc>
          <w:tcPr>
            <w:tcW w:type="dxa" w:w="3528"/>
            <w:vAlign w:val="center"/>
            <w:tcMar>
              <w:top w:w="100" w:type="dxa"/>
              <w:start w:w="120" w:type="dxa"/>
              <w:bottom w:w="100" w:type="dxa"/>
              <w:end w:w="120" w:type="dxa"/>
            </w:tcMar>
            <w:shd w:fill="EAF2F8"/>
          </w:tcPr>
          <w:p>
            <w:r>
              <w:rPr>
                <w:rFonts w:ascii="Arial" w:hAnsi="Arial"/>
                <w:sz w:val="18"/>
              </w:rPr>
              <w:t>Moves heat away from high density chips more efficiently</w:t>
            </w:r>
          </w:p>
        </w:tc>
        <w:tc>
          <w:tcPr>
            <w:tcW w:type="dxa" w:w="4320"/>
            <w:vAlign w:val="center"/>
            <w:tcMar>
              <w:top w:w="100" w:type="dxa"/>
              <w:start w:w="120" w:type="dxa"/>
              <w:bottom w:w="100" w:type="dxa"/>
              <w:end w:w="120" w:type="dxa"/>
            </w:tcMar>
            <w:shd w:fill="EAF2F8"/>
          </w:tcPr>
          <w:p>
            <w:r>
              <w:rPr>
                <w:rFonts w:ascii="Arial" w:hAnsi="Arial"/>
                <w:sz w:val="18"/>
              </w:rPr>
              <w:t>Supports workloads that traditional air cooling may not handle</w:t>
            </w:r>
          </w:p>
        </w:tc>
      </w:tr>
      <w:tr>
        <w:tc>
          <w:tcPr>
            <w:tcW w:type="dxa" w:w="2232"/>
            <w:vAlign w:val="center"/>
            <w:tcMar>
              <w:top w:w="100" w:type="dxa"/>
              <w:start w:w="120" w:type="dxa"/>
              <w:bottom w:w="100" w:type="dxa"/>
              <w:end w:w="120" w:type="dxa"/>
            </w:tcMar>
          </w:tcPr>
          <w:p>
            <w:r>
              <w:rPr>
                <w:rFonts w:ascii="Arial" w:hAnsi="Arial"/>
                <w:sz w:val="18"/>
              </w:rPr>
              <w:t>Cloud and colocation</w:t>
            </w:r>
          </w:p>
        </w:tc>
        <w:tc>
          <w:tcPr>
            <w:tcW w:type="dxa" w:w="3528"/>
            <w:vAlign w:val="center"/>
            <w:tcMar>
              <w:top w:w="100" w:type="dxa"/>
              <w:start w:w="120" w:type="dxa"/>
              <w:bottom w:w="100" w:type="dxa"/>
              <w:end w:w="120" w:type="dxa"/>
            </w:tcMar>
          </w:tcPr>
          <w:p>
            <w:r>
              <w:rPr>
                <w:rFonts w:ascii="Arial" w:hAnsi="Arial"/>
                <w:sz w:val="18"/>
              </w:rPr>
              <w:t>Expands large facilities across regions</w:t>
            </w:r>
          </w:p>
        </w:tc>
        <w:tc>
          <w:tcPr>
            <w:tcW w:type="dxa" w:w="4320"/>
            <w:vAlign w:val="center"/>
            <w:tcMar>
              <w:top w:w="100" w:type="dxa"/>
              <w:start w:w="120" w:type="dxa"/>
              <w:bottom w:w="100" w:type="dxa"/>
              <w:end w:w="120" w:type="dxa"/>
            </w:tcMar>
          </w:tcPr>
          <w:p>
            <w:r>
              <w:rPr>
                <w:rFonts w:ascii="Arial" w:hAnsi="Arial"/>
                <w:sz w:val="18"/>
              </w:rPr>
              <w:t>Increases demand for reliable equipment and maintenance</w:t>
            </w:r>
          </w:p>
        </w:tc>
      </w:tr>
      <w:tr>
        <w:tc>
          <w:tcPr>
            <w:tcW w:type="dxa" w:w="2232"/>
            <w:vAlign w:val="center"/>
            <w:tcMar>
              <w:top w:w="100" w:type="dxa"/>
              <w:start w:w="120" w:type="dxa"/>
              <w:bottom w:w="100" w:type="dxa"/>
              <w:end w:w="120" w:type="dxa"/>
            </w:tcMar>
            <w:shd w:fill="EAF2F8"/>
          </w:tcPr>
          <w:p>
            <w:r>
              <w:rPr>
                <w:rFonts w:ascii="Arial" w:hAnsi="Arial"/>
                <w:sz w:val="18"/>
              </w:rPr>
              <w:t>Grid constraints</w:t>
            </w:r>
          </w:p>
        </w:tc>
        <w:tc>
          <w:tcPr>
            <w:tcW w:type="dxa" w:w="3528"/>
            <w:vAlign w:val="center"/>
            <w:tcMar>
              <w:top w:w="100" w:type="dxa"/>
              <w:start w:w="120" w:type="dxa"/>
              <w:bottom w:w="100" w:type="dxa"/>
              <w:end w:w="120" w:type="dxa"/>
            </w:tcMar>
            <w:shd w:fill="EAF2F8"/>
          </w:tcPr>
          <w:p>
            <w:r>
              <w:rPr>
                <w:rFonts w:ascii="Arial" w:hAnsi="Arial"/>
                <w:sz w:val="18"/>
              </w:rPr>
              <w:t>Limits how quickly new facilities can connect</w:t>
            </w:r>
          </w:p>
        </w:tc>
        <w:tc>
          <w:tcPr>
            <w:tcW w:type="dxa" w:w="4320"/>
            <w:vAlign w:val="center"/>
            <w:tcMar>
              <w:top w:w="100" w:type="dxa"/>
              <w:start w:w="120" w:type="dxa"/>
              <w:bottom w:w="100" w:type="dxa"/>
              <w:end w:w="120" w:type="dxa"/>
            </w:tcMar>
            <w:shd w:fill="EAF2F8"/>
          </w:tcPr>
          <w:p>
            <w:r>
              <w:rPr>
                <w:rFonts w:ascii="Arial" w:hAnsi="Arial"/>
                <w:sz w:val="18"/>
              </w:rPr>
              <w:t>Makes efficiency and on site power planning more important</w:t>
            </w:r>
          </w:p>
        </w:tc>
      </w:tr>
    </w:tbl>
    <w:p>
      <w:pPr>
        <w:pStyle w:val="Heading2"/>
      </w:pPr>
      <w:r>
        <w:rPr>
          <w:rFonts w:ascii="Arial" w:hAnsi="Arial"/>
        </w:rPr>
        <w:t>Power and Cooling Demand</w:t>
      </w:r>
    </w:p>
    <w:p>
      <w:r>
        <w:rPr>
          <w:rFonts w:ascii="Arial" w:hAnsi="Arial"/>
        </w:rPr>
        <w:t>Cooling is one of the clearest bottlenecks. Vertiv's published liquid cooling study reported a 10.2 percent reduction in total data center power and more than a 15 percent improvement in total usage effectiveness in its optimized case [2]. This does not mean every facility will produce the same result, but it shows why operators are evaluating liquid cooling as computing density increases.</w:t>
      </w:r>
    </w:p>
    <w:p>
      <w:pPr>
        <w:pStyle w:val="Heading1"/>
      </w:pPr>
      <w:r>
        <w:rPr>
          <w:rFonts w:ascii="Arial" w:hAnsi="Arial"/>
        </w:rPr>
        <w:t>Vertiv Company Review</w:t>
      </w:r>
    </w:p>
    <w:p>
      <w:r>
        <w:rPr>
          <w:rFonts w:ascii="Arial" w:hAnsi="Arial"/>
        </w:rPr>
        <w:t>Vertiv sells critical digital infrastructure rather than computing chips or software. Its product areas include power management, thermal management, integrated racks, modular solutions, controls, and services. This business mix gives Vertiv exposure to data center construction and upgrades across different technology platforms.</w:t>
      </w:r>
    </w:p>
    <w:p>
      <w:pPr>
        <w:pStyle w:val="Heading2"/>
      </w:pPr>
      <w:r>
        <w:rPr>
          <w:rFonts w:ascii="Arial" w:hAnsi="Arial"/>
        </w:rPr>
        <w:t>Recent Evidence</w:t>
      </w:r>
    </w:p>
    <w:p>
      <w:r>
        <w:rPr>
          <w:rFonts w:ascii="Arial" w:hAnsi="Arial"/>
        </w:rPr>
        <w:t>Vertiv's full year 2025 announcement reported organic orders growth of 25 percent, diluted earnings per share growth of 20 percent, and adjusted diluted earnings per share growth of 37 percent [3]. In July 2026, the company also announced manufacturing investments intended to double chiller production capacity in the region by the end of 2026 [4]. The order growth supports the demand thesis, while the capacity expansion shows that management expects cooling demand to remain strong.</w:t>
      </w:r>
    </w:p>
    <w:p>
      <w:pPr>
        <w:pStyle w:val="Heading2"/>
      </w:pPr>
      <w:r>
        <w:rPr>
          <w:rFonts w:ascii="Arial" w:hAnsi="Arial"/>
        </w:rPr>
        <w:t>Why Vertiv May Benefit</w:t>
      </w:r>
    </w:p>
    <w:p>
      <w:pPr>
        <w:pStyle w:val="ListBullet"/>
        <w:spacing w:after="100"/>
      </w:pPr>
      <w:r>
        <w:rPr>
          <w:rFonts w:ascii="Arial" w:hAnsi="Arial"/>
          <w:b/>
        </w:rPr>
        <w:t xml:space="preserve">Necessary infrastructure. </w:t>
      </w:r>
      <w:r>
        <w:rPr>
          <w:rFonts w:ascii="Arial" w:hAnsi="Arial"/>
        </w:rPr>
        <w:t>Data centers cannot operate at scale without dependable power and thermal systems.</w:t>
      </w:r>
    </w:p>
    <w:p>
      <w:pPr>
        <w:pStyle w:val="ListBullet"/>
        <w:spacing w:after="100"/>
      </w:pPr>
      <w:r>
        <w:rPr>
          <w:rFonts w:ascii="Arial" w:hAnsi="Arial"/>
          <w:b/>
        </w:rPr>
        <w:t xml:space="preserve">Multiple revenue areas. </w:t>
      </w:r>
      <w:r>
        <w:rPr>
          <w:rFonts w:ascii="Arial" w:hAnsi="Arial"/>
        </w:rPr>
        <w:t>Vertiv can sell equipment during construction and provide maintenance and services after installation.</w:t>
      </w:r>
    </w:p>
    <w:p>
      <w:pPr>
        <w:pStyle w:val="ListBullet"/>
        <w:spacing w:after="100"/>
      </w:pPr>
      <w:r>
        <w:rPr>
          <w:rFonts w:ascii="Arial" w:hAnsi="Arial"/>
          <w:b/>
        </w:rPr>
        <w:t xml:space="preserve">AI exposure without choosing one chipmaker. </w:t>
      </w:r>
      <w:r>
        <w:rPr>
          <w:rFonts w:ascii="Arial" w:hAnsi="Arial"/>
        </w:rPr>
        <w:t>Demand can grow as the overall amount of computing rises, even if market share changes among semiconductor companies.</w:t>
      </w:r>
    </w:p>
    <w:p>
      <w:pPr>
        <w:pStyle w:val="ListBullet"/>
        <w:spacing w:after="100"/>
      </w:pPr>
      <w:r>
        <w:rPr>
          <w:rFonts w:ascii="Arial" w:hAnsi="Arial"/>
          <w:b/>
        </w:rPr>
        <w:t xml:space="preserve">Installed base. </w:t>
      </w:r>
      <w:r>
        <w:rPr>
          <w:rFonts w:ascii="Arial" w:hAnsi="Arial"/>
        </w:rPr>
        <w:t>A larger installed base may support recurring service revenue and future upgrade work.</w:t>
      </w:r>
    </w:p>
    <w:p>
      <w:pPr>
        <w:pStyle w:val="Heading1"/>
      </w:pPr>
      <w:r>
        <w:rPr>
          <w:rFonts w:ascii="Arial" w:hAnsi="Arial"/>
        </w:rPr>
        <w:t>Risks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76"/>
        <w:gridCol w:w="4536"/>
        <w:gridCol w:w="3168"/>
      </w:tblGrid>
      <w:tr>
        <w:trPr>
          <w:tblHeader w:val="true"/>
        </w:trPr>
        <w:tc>
          <w:tcPr>
            <w:tcW w:type="dxa" w:w="3312"/>
            <w:shd w:fill="17365D"/>
            <w:vAlign w:val="center"/>
            <w:tcMar>
              <w:top w:w="100" w:type="dxa"/>
              <w:start w:w="120" w:type="dxa"/>
              <w:bottom w:w="100" w:type="dxa"/>
              <w:end w:w="120" w:type="dxa"/>
            </w:tcMar>
          </w:tcPr>
          <w:p>
            <w:pPr>
              <w:jc w:val="center"/>
            </w:pPr>
            <w:r>
              <w:rPr>
                <w:rFonts w:ascii="Arial" w:hAnsi="Arial"/>
                <w:b/>
                <w:color w:val="FFFFFF"/>
                <w:sz w:val="19"/>
              </w:rPr>
              <w:t>Risk</w:t>
            </w:r>
          </w:p>
        </w:tc>
        <w:tc>
          <w:tcPr>
            <w:tcW w:type="dxa" w:w="3312"/>
            <w:shd w:fill="17365D"/>
            <w:vAlign w:val="center"/>
            <w:tcMar>
              <w:top w:w="100" w:type="dxa"/>
              <w:start w:w="120" w:type="dxa"/>
              <w:bottom w:w="100" w:type="dxa"/>
              <w:end w:w="120" w:type="dxa"/>
            </w:tcMar>
          </w:tcPr>
          <w:p>
            <w:pPr>
              <w:jc w:val="center"/>
            </w:pPr>
            <w:r>
              <w:rPr>
                <w:rFonts w:ascii="Arial" w:hAnsi="Arial"/>
                <w:b/>
                <w:color w:val="FFFFFF"/>
                <w:sz w:val="19"/>
              </w:rPr>
              <w:t>Possible Effect</w:t>
            </w:r>
          </w:p>
        </w:tc>
        <w:tc>
          <w:tcPr>
            <w:tcW w:type="dxa" w:w="3312"/>
            <w:shd w:fill="17365D"/>
            <w:vAlign w:val="center"/>
            <w:tcMar>
              <w:top w:w="100" w:type="dxa"/>
              <w:start w:w="120" w:type="dxa"/>
              <w:bottom w:w="100" w:type="dxa"/>
              <w:end w:w="120" w:type="dxa"/>
            </w:tcMar>
          </w:tcPr>
          <w:p>
            <w:pPr>
              <w:jc w:val="center"/>
            </w:pPr>
            <w:r>
              <w:rPr>
                <w:rFonts w:ascii="Arial" w:hAnsi="Arial"/>
                <w:b/>
                <w:color w:val="FFFFFF"/>
                <w:sz w:val="19"/>
              </w:rPr>
              <w:t>What I Would Monitor</w:t>
            </w:r>
          </w:p>
        </w:tc>
      </w:tr>
      <w:tr>
        <w:tc>
          <w:tcPr>
            <w:tcW w:type="dxa" w:w="2376"/>
            <w:vAlign w:val="center"/>
            <w:tcMar>
              <w:top w:w="100" w:type="dxa"/>
              <w:start w:w="120" w:type="dxa"/>
              <w:bottom w:w="100" w:type="dxa"/>
              <w:end w:w="120" w:type="dxa"/>
            </w:tcMar>
          </w:tcPr>
          <w:p>
            <w:r>
              <w:rPr>
                <w:rFonts w:ascii="Arial" w:hAnsi="Arial"/>
                <w:sz w:val="18"/>
              </w:rPr>
              <w:t>Capital spending cycle</w:t>
            </w:r>
          </w:p>
        </w:tc>
        <w:tc>
          <w:tcPr>
            <w:tcW w:type="dxa" w:w="4536"/>
            <w:vAlign w:val="center"/>
            <w:tcMar>
              <w:top w:w="100" w:type="dxa"/>
              <w:start w:w="120" w:type="dxa"/>
              <w:bottom w:w="100" w:type="dxa"/>
              <w:end w:w="120" w:type="dxa"/>
            </w:tcMar>
          </w:tcPr>
          <w:p>
            <w:r>
              <w:rPr>
                <w:rFonts w:ascii="Arial" w:hAnsi="Arial"/>
                <w:sz w:val="18"/>
              </w:rPr>
              <w:t>A slowdown in hyperscaler or colocation spending could reduce orders</w:t>
            </w:r>
          </w:p>
        </w:tc>
        <w:tc>
          <w:tcPr>
            <w:tcW w:type="dxa" w:w="3168"/>
            <w:vAlign w:val="center"/>
            <w:tcMar>
              <w:top w:w="100" w:type="dxa"/>
              <w:start w:w="120" w:type="dxa"/>
              <w:bottom w:w="100" w:type="dxa"/>
              <w:end w:w="120" w:type="dxa"/>
            </w:tcMar>
          </w:tcPr>
          <w:p>
            <w:r>
              <w:rPr>
                <w:rFonts w:ascii="Arial" w:hAnsi="Arial"/>
                <w:sz w:val="18"/>
              </w:rPr>
              <w:t>Organic orders and backlog growth</w:t>
            </w:r>
          </w:p>
        </w:tc>
      </w:tr>
      <w:tr>
        <w:tc>
          <w:tcPr>
            <w:tcW w:type="dxa" w:w="2376"/>
            <w:vAlign w:val="center"/>
            <w:tcMar>
              <w:top w:w="100" w:type="dxa"/>
              <w:start w:w="120" w:type="dxa"/>
              <w:bottom w:w="100" w:type="dxa"/>
              <w:end w:w="120" w:type="dxa"/>
            </w:tcMar>
            <w:shd w:fill="EAF2F8"/>
          </w:tcPr>
          <w:p>
            <w:r>
              <w:rPr>
                <w:rFonts w:ascii="Arial" w:hAnsi="Arial"/>
                <w:sz w:val="18"/>
              </w:rPr>
              <w:t>Manufacturing execution</w:t>
            </w:r>
          </w:p>
        </w:tc>
        <w:tc>
          <w:tcPr>
            <w:tcW w:type="dxa" w:w="4536"/>
            <w:vAlign w:val="center"/>
            <w:tcMar>
              <w:top w:w="100" w:type="dxa"/>
              <w:start w:w="120" w:type="dxa"/>
              <w:bottom w:w="100" w:type="dxa"/>
              <w:end w:w="120" w:type="dxa"/>
            </w:tcMar>
            <w:shd w:fill="EAF2F8"/>
          </w:tcPr>
          <w:p>
            <w:r>
              <w:rPr>
                <w:rFonts w:ascii="Arial" w:hAnsi="Arial"/>
                <w:sz w:val="18"/>
              </w:rPr>
              <w:t>Capacity projects could run late or cost more than expected</w:t>
            </w:r>
          </w:p>
        </w:tc>
        <w:tc>
          <w:tcPr>
            <w:tcW w:type="dxa" w:w="3168"/>
            <w:vAlign w:val="center"/>
            <w:tcMar>
              <w:top w:w="100" w:type="dxa"/>
              <w:start w:w="120" w:type="dxa"/>
              <w:bottom w:w="100" w:type="dxa"/>
              <w:end w:w="120" w:type="dxa"/>
            </w:tcMar>
            <w:shd w:fill="EAF2F8"/>
          </w:tcPr>
          <w:p>
            <w:r>
              <w:rPr>
                <w:rFonts w:ascii="Arial" w:hAnsi="Arial"/>
                <w:sz w:val="18"/>
              </w:rPr>
              <w:t>Lead times, capital spending, and margins</w:t>
            </w:r>
          </w:p>
        </w:tc>
      </w:tr>
      <w:tr>
        <w:tc>
          <w:tcPr>
            <w:tcW w:type="dxa" w:w="2376"/>
            <w:vAlign w:val="center"/>
            <w:tcMar>
              <w:top w:w="100" w:type="dxa"/>
              <w:start w:w="120" w:type="dxa"/>
              <w:bottom w:w="100" w:type="dxa"/>
              <w:end w:w="120" w:type="dxa"/>
            </w:tcMar>
          </w:tcPr>
          <w:p>
            <w:r>
              <w:rPr>
                <w:rFonts w:ascii="Arial" w:hAnsi="Arial"/>
                <w:sz w:val="18"/>
              </w:rPr>
              <w:t>Supply chain</w:t>
            </w:r>
          </w:p>
        </w:tc>
        <w:tc>
          <w:tcPr>
            <w:tcW w:type="dxa" w:w="4536"/>
            <w:vAlign w:val="center"/>
            <w:tcMar>
              <w:top w:w="100" w:type="dxa"/>
              <w:start w:w="120" w:type="dxa"/>
              <w:bottom w:w="100" w:type="dxa"/>
              <w:end w:w="120" w:type="dxa"/>
            </w:tcMar>
          </w:tcPr>
          <w:p>
            <w:r>
              <w:rPr>
                <w:rFonts w:ascii="Arial" w:hAnsi="Arial"/>
                <w:sz w:val="18"/>
              </w:rPr>
              <w:t>Component shortages could delay delivery or raise costs</w:t>
            </w:r>
          </w:p>
        </w:tc>
        <w:tc>
          <w:tcPr>
            <w:tcW w:type="dxa" w:w="3168"/>
            <w:vAlign w:val="center"/>
            <w:tcMar>
              <w:top w:w="100" w:type="dxa"/>
              <w:start w:w="120" w:type="dxa"/>
              <w:bottom w:w="100" w:type="dxa"/>
              <w:end w:w="120" w:type="dxa"/>
            </w:tcMar>
          </w:tcPr>
          <w:p>
            <w:r>
              <w:rPr>
                <w:rFonts w:ascii="Arial" w:hAnsi="Arial"/>
                <w:sz w:val="18"/>
              </w:rPr>
              <w:t>Working capital and delivery schedules</w:t>
            </w:r>
          </w:p>
        </w:tc>
      </w:tr>
      <w:tr>
        <w:tc>
          <w:tcPr>
            <w:tcW w:type="dxa" w:w="2376"/>
            <w:vAlign w:val="center"/>
            <w:tcMar>
              <w:top w:w="100" w:type="dxa"/>
              <w:start w:w="120" w:type="dxa"/>
              <w:bottom w:w="100" w:type="dxa"/>
              <w:end w:w="120" w:type="dxa"/>
            </w:tcMar>
            <w:shd w:fill="EAF2F8"/>
          </w:tcPr>
          <w:p>
            <w:r>
              <w:rPr>
                <w:rFonts w:ascii="Arial" w:hAnsi="Arial"/>
                <w:sz w:val="18"/>
              </w:rPr>
              <w:t>Competition</w:t>
            </w:r>
          </w:p>
        </w:tc>
        <w:tc>
          <w:tcPr>
            <w:tcW w:type="dxa" w:w="4536"/>
            <w:vAlign w:val="center"/>
            <w:tcMar>
              <w:top w:w="100" w:type="dxa"/>
              <w:start w:w="120" w:type="dxa"/>
              <w:bottom w:w="100" w:type="dxa"/>
              <w:end w:w="120" w:type="dxa"/>
            </w:tcMar>
            <w:shd w:fill="EAF2F8"/>
          </w:tcPr>
          <w:p>
            <w:r>
              <w:rPr>
                <w:rFonts w:ascii="Arial" w:hAnsi="Arial"/>
                <w:sz w:val="18"/>
              </w:rPr>
              <w:t>Large electrical and industrial firms may pressure pricing</w:t>
            </w:r>
          </w:p>
        </w:tc>
        <w:tc>
          <w:tcPr>
            <w:tcW w:type="dxa" w:w="3168"/>
            <w:vAlign w:val="center"/>
            <w:tcMar>
              <w:top w:w="100" w:type="dxa"/>
              <w:start w:w="120" w:type="dxa"/>
              <w:bottom w:w="100" w:type="dxa"/>
              <w:end w:w="120" w:type="dxa"/>
            </w:tcMar>
            <w:shd w:fill="EAF2F8"/>
          </w:tcPr>
          <w:p>
            <w:r>
              <w:rPr>
                <w:rFonts w:ascii="Arial" w:hAnsi="Arial"/>
                <w:sz w:val="18"/>
              </w:rPr>
              <w:t>Market share and operating margin</w:t>
            </w:r>
          </w:p>
        </w:tc>
      </w:tr>
      <w:tr>
        <w:tc>
          <w:tcPr>
            <w:tcW w:type="dxa" w:w="2376"/>
            <w:vAlign w:val="center"/>
            <w:tcMar>
              <w:top w:w="100" w:type="dxa"/>
              <w:start w:w="120" w:type="dxa"/>
              <w:bottom w:w="100" w:type="dxa"/>
              <w:end w:w="120" w:type="dxa"/>
            </w:tcMar>
          </w:tcPr>
          <w:p>
            <w:r>
              <w:rPr>
                <w:rFonts w:ascii="Arial" w:hAnsi="Arial"/>
                <w:sz w:val="18"/>
              </w:rPr>
              <w:t>Valuation</w:t>
            </w:r>
          </w:p>
        </w:tc>
        <w:tc>
          <w:tcPr>
            <w:tcW w:type="dxa" w:w="4536"/>
            <w:vAlign w:val="center"/>
            <w:tcMar>
              <w:top w:w="100" w:type="dxa"/>
              <w:start w:w="120" w:type="dxa"/>
              <w:bottom w:w="100" w:type="dxa"/>
              <w:end w:w="120" w:type="dxa"/>
            </w:tcMar>
          </w:tcPr>
          <w:p>
            <w:r>
              <w:rPr>
                <w:rFonts w:ascii="Arial" w:hAnsi="Arial"/>
                <w:sz w:val="18"/>
              </w:rPr>
              <w:t>Strong growth may already be reflected in the share price</w:t>
            </w:r>
          </w:p>
        </w:tc>
        <w:tc>
          <w:tcPr>
            <w:tcW w:type="dxa" w:w="3168"/>
            <w:vAlign w:val="center"/>
            <w:tcMar>
              <w:top w:w="100" w:type="dxa"/>
              <w:start w:w="120" w:type="dxa"/>
              <w:bottom w:w="100" w:type="dxa"/>
              <w:end w:w="120" w:type="dxa"/>
            </w:tcMar>
          </w:tcPr>
          <w:p>
            <w:r>
              <w:rPr>
                <w:rFonts w:ascii="Arial" w:hAnsi="Arial"/>
                <w:sz w:val="18"/>
              </w:rPr>
              <w:t>Forward earnings and EBITDA multiples</w:t>
            </w:r>
          </w:p>
        </w:tc>
      </w:tr>
    </w:tbl>
    <w:p>
      <w:pPr>
        <w:pStyle w:val="Heading1"/>
      </w:pPr>
      <w:r>
        <w:rPr>
          <w:rFonts w:ascii="Arial" w:hAnsi="Arial"/>
        </w:rPr>
        <w:t>Comparable Companies and Next Steps</w:t>
      </w:r>
    </w:p>
    <w:p>
      <w:r>
        <w:rPr>
          <w:rFonts w:ascii="Arial" w:hAnsi="Arial"/>
        </w:rPr>
        <w:t>My next step would be to compare Vertiv with Eaton, Schneider Electric, and other companies that sell electrical or cooling infrastructure. I would focus on organic revenue growth, backlog, operating margin, free cash flow conversion, and forward valuation multiples. I would also separate growth caused by data center demand from growth caused by acquisitions or pricing.</w:t>
      </w:r>
    </w:p>
    <w:p>
      <w:pPr>
        <w:pStyle w:val="Heading1"/>
      </w:pPr>
      <w:r>
        <w:rPr>
          <w:rFonts w:ascii="Arial" w:hAnsi="Arial"/>
        </w:rPr>
        <w:t>Conclusion</w:t>
      </w:r>
    </w:p>
    <w:p>
      <w:r>
        <w:rPr>
          <w:rFonts w:ascii="Arial" w:hAnsi="Arial"/>
        </w:rPr>
        <w:t>Vertiv gives investors a way to participate in AI infrastructure spending through power and cooling equipment. The demand evidence is strong, and the company's capacity investments support the idea that data center cooling will remain important. I would not make an investment decision from industry growth alone. I would compare the expected growth with Vertiv's valuation and check whether margins, backlog, and free cash flow continue to support the market's expectations.</w:t>
      </w:r>
    </w:p>
    <w:p>
      <w:pPr>
        <w:pStyle w:val="Heading1"/>
      </w:pPr>
      <w:r>
        <w:rPr>
          <w:rFonts w:ascii="Arial" w:hAnsi="Arial"/>
        </w:rPr>
        <w:t>Sources</w:t>
      </w:r>
    </w:p>
    <w:p>
      <w:pPr>
        <w:ind w:left="288" w:hanging="288"/>
      </w:pPr>
      <w:r>
        <w:rPr>
          <w:rFonts w:ascii="Arial" w:hAnsi="Arial"/>
          <w:b/>
        </w:rPr>
        <w:t xml:space="preserve">[1] Vertiv company website and AI infrastructure overview. </w:t>
      </w:r>
      <w:hyperlink r:id="rId9">
        <w:r>
          <w:rPr>
            <w:color w:val="1F4E78"/>
            <w:u w:val="single"/>
          </w:rPr>
          <w:t>https://www.vertiv.com/en-us/</w:t>
        </w:r>
      </w:hyperlink>
    </w:p>
    <w:p>
      <w:pPr>
        <w:ind w:left="288" w:hanging="288"/>
      </w:pPr>
      <w:r>
        <w:rPr>
          <w:rFonts w:ascii="Arial" w:hAnsi="Arial"/>
          <w:b/>
        </w:rPr>
        <w:t xml:space="preserve">[2] Vertiv liquid cooling options for data centers. </w:t>
      </w:r>
      <w:hyperlink r:id="rId10">
        <w:r>
          <w:rPr>
            <w:color w:val="1F4E78"/>
            <w:u w:val="single"/>
          </w:rPr>
          <w:t>https://www.vertiv.com/en-us/solutions/learn-about/liquid-cooling-options-for-data-centers/</w:t>
        </w:r>
      </w:hyperlink>
    </w:p>
    <w:p>
      <w:pPr>
        <w:ind w:left="288" w:hanging="288"/>
      </w:pPr>
      <w:r>
        <w:rPr>
          <w:rFonts w:ascii="Arial" w:hAnsi="Arial"/>
          <w:b/>
        </w:rPr>
        <w:t xml:space="preserve">[3] Vertiv full year 2025 results. </w:t>
      </w:r>
      <w:hyperlink r:id="rId11">
        <w:r>
          <w:rPr>
            <w:color w:val="1F4E78"/>
            <w:u w:val="single"/>
          </w:rPr>
          <w:t>https://investors.vertiv.com/news/news-details/2026/Vertiv-Reports-Strong-Fourth-Quarter-with-Organic-Orders-Growth-of-252-and-Diluted-EPS-Growth-of-200-Adjusted-Diluted-EPS-37/default.aspx</w:t>
        </w:r>
      </w:hyperlink>
    </w:p>
    <w:p>
      <w:pPr>
        <w:ind w:left="288" w:hanging="288"/>
      </w:pPr>
      <w:r>
        <w:rPr>
          <w:rFonts w:ascii="Arial" w:hAnsi="Arial"/>
          <w:b/>
        </w:rPr>
        <w:t xml:space="preserve">[4] Vertiv manufacturing capacity expansion for AI ready cooling. </w:t>
      </w:r>
      <w:hyperlink r:id="rId12">
        <w:r>
          <w:rPr>
            <w:color w:val="1F4E78"/>
            <w:u w:val="single"/>
          </w:rPr>
          <w:t>https://www.vertiv.com/en-us/about/news-and-events/corporate-news/2026/vertiv-expands-global-manufacturing-capacity-for-ai-ready-data-center-cooling-solutions/</w:t>
        </w:r>
      </w:hyperlink>
    </w:p>
    <w:p>
      <w:pPr>
        <w:ind w:left="288" w:hanging="288"/>
      </w:pPr>
      <w:r>
        <w:rPr>
          <w:rFonts w:ascii="Arial" w:hAnsi="Arial"/>
          <w:b/>
        </w:rPr>
        <w:t xml:space="preserve">[5] Vertiv annual reports. </w:t>
      </w:r>
      <w:hyperlink r:id="rId13">
        <w:r>
          <w:rPr>
            <w:color w:val="1F4E78"/>
            <w:u w:val="single"/>
          </w:rPr>
          <w:t>https://investors.vertiv.com/financials/annual-reports/default.aspx</w:t>
        </w:r>
      </w:hyperlink>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vertiv.com/en-us/" TargetMode="External"/><Relationship Id="rId10" Type="http://schemas.openxmlformats.org/officeDocument/2006/relationships/hyperlink" Target="https://www.vertiv.com/en-us/solutions/learn-about/liquid-cooling-options-for-data-centers/" TargetMode="External"/><Relationship Id="rId11" Type="http://schemas.openxmlformats.org/officeDocument/2006/relationships/hyperlink" Target="https://investors.vertiv.com/news/news-details/2026/Vertiv-Reports-Strong-Fourth-Quarter-with-Organic-Orders-Growth-of-252-and-Diluted-EPS-Growth-of-200-Adjusted-Diluted-EPS-37/default.aspx" TargetMode="External"/><Relationship Id="rId12" Type="http://schemas.openxmlformats.org/officeDocument/2006/relationships/hyperlink" Target="https://www.vertiv.com/en-us/about/news-and-events/corporate-news/2026/vertiv-expands-global-manufacturing-capacity-for-ai-ready-data-center-cooling-solutions/" TargetMode="External"/><Relationship Id="rId13" Type="http://schemas.openxmlformats.org/officeDocument/2006/relationships/hyperlink" Target="https://investors.vertiv.com/financials/annual-report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Infrastructure and Vertiv Research</dc:title>
  <dc:subject>Industry and company research project</dc:subject>
  <dc:creator>Gabriel Mildner</dc:creator>
  <cp:keywords/>
  <dc:description>generated by python-docx</dc:description>
  <cp:lastModifiedBy/>
  <cp:revision>1</cp:revision>
  <dcterms:created xsi:type="dcterms:W3CDTF">2013-12-23T23:15:00Z</dcterms:created>
  <dcterms:modified xsi:type="dcterms:W3CDTF">2013-12-23T23:15:00Z</dcterms:modified>
  <cp:category/>
</cp:coreProperties>
</file>