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4057"/>
          <w:sz w:val="36"/>
          <w:szCs w:val="36"/>
        </w:rPr>
        <w:t xml:space="preserve">SEMILLA TEÓRICA v2</w:t>
      </w:r>
    </w:p>
    <w:p>
      <w:pPr>
        <w:spacing w:after="60" w:before="0"/>
        <w:jc w:val="center"/>
      </w:pPr>
      <w:r>
        <w:rPr>
          <w:rFonts w:ascii="Arial" w:cs="Arial" w:eastAsia="Arial" w:hAnsi="Arial"/>
          <w:b/>
          <w:bCs/>
          <w:color w:val="4A6FA5"/>
          <w:sz w:val="26"/>
          <w:szCs w:val="26"/>
        </w:rPr>
        <w:t xml:space="preserve">Ciclo Práctico y Ciclo Neurofisiológico: Correspondencia Integrada</w:t>
      </w:r>
    </w:p>
    <w:p>
      <w:pPr>
        <w:spacing w:after="300" w:before="0"/>
        <w:jc w:val="center"/>
      </w:pPr>
      <w:r>
        <w:rPr>
          <w:rFonts w:ascii="Arial" w:cs="Arial" w:eastAsia="Arial" w:hAnsi="Arial"/>
          <w:i/>
          <w:iCs/>
          <w:color w:val="888888"/>
          <w:sz w:val="20"/>
          <w:szCs w:val="20"/>
        </w:rPr>
        <w:t xml:space="preserve">El Verbo como Co-regulador Primario  ·  Repositorio GMinino/El-Verbo  ·  28 de mayo de 2026</w:t>
      </w:r>
    </w:p>
    <w:p>
      <w:pPr>
        <w:pStyle w:val="Heading1"/>
        <w:spacing w:after="180" w:before="360"/>
      </w:pPr>
      <w:r>
        <w:rPr>
          <w:rFonts w:ascii="Arial" w:cs="Arial" w:eastAsia="Arial" w:hAnsi="Arial"/>
          <w:b/>
          <w:bCs/>
          <w:color w:val="2E4057"/>
          <w:sz w:val="28"/>
          <w:szCs w:val="28"/>
        </w:rPr>
        <w:t xml:space="preserve">1. El problema que generó esta semilla</w:t>
      </w:r>
    </w:p>
    <w:p>
      <w:pPr>
        <w:spacing w:after="80" w:before="80"/>
      </w:pPr>
      <w:r>
        <w:rPr>
          <w:rFonts w:ascii="Arial" w:cs="Arial" w:eastAsia="Arial" w:hAnsi="Arial"/>
          <w:sz w:val="22"/>
          <w:szCs w:val="22"/>
        </w:rPr>
        <w:t xml:space="preserve">La Semilla v1 estableció el grafo causal completo desde el Verbo Primordial hasta la Reconfiguración Epigenética, con la anandamida posicionada como interfaz de aterrizaje bioquímico — no como co-regulador, sino como traductora que permite que la señal del Verbo humano descienda del córtex al cuerpo.</w:t>
      </w:r>
    </w:p>
    <w:p>
      <w:pPr>
        <w:spacing w:after="100" w:before="100"/>
      </w:pPr>
      <w:r>
        <w:t xml:space="preserve"/>
      </w:r>
    </w:p>
    <w:p>
      <w:pPr>
        <w:spacing w:after="80" w:before="80"/>
      </w:pPr>
      <w:r>
        <w:rPr>
          <w:rFonts w:ascii="Arial" w:cs="Arial" w:eastAsia="Arial" w:hAnsi="Arial"/>
          <w:sz w:val="22"/>
          <w:szCs w:val="22"/>
        </w:rPr>
        <w:t xml:space="preserve">En la sesión del 28 de mayo se construyó un segundo ciclo: el protocolo práctico funcional que describe la secuencia de pasos que un practicante ejecuta para inducir el estado. La pregunta que abrió esta semilla fue: ¿los dos ciclos son paralelos o son el mismo mecanismo descrito desde dos niveles distintos de observación?</w:t>
      </w:r>
    </w:p>
    <w:p>
      <w:pPr>
        <w:spacing w:after="100" w:before="100"/>
      </w:pPr>
      <w:r>
        <w:t xml:space="preserve"/>
      </w:r>
    </w:p>
    <w:p>
      <w:pPr>
        <w:spacing w:after="80" w:before="80"/>
      </w:pPr>
      <w:r>
        <w:rPr>
          <w:rFonts w:ascii="Arial" w:cs="Arial" w:eastAsia="Arial" w:hAnsi="Arial"/>
          <w:sz w:val="22"/>
          <w:szCs w:val="22"/>
        </w:rPr>
        <w:t xml:space="preserve">La respuesta es la segunda: son el mismo mecanismo. El ciclo práctico es el grafo neurofisiológico ejecutado conscientemente, paso a paso.</w:t>
      </w:r>
    </w:p>
    <w:p>
      <w:pPr>
        <w:spacing w:after="100" w:before="100"/>
      </w:pPr>
      <w:r>
        <w:t xml:space="preserve"/>
      </w:r>
    </w:p>
    <w:p>
      <w:pPr>
        <w:spacing w:after="100" w:before="100"/>
      </w:pPr>
      <w:r>
        <w:t xml:space="preserve"/>
      </w:r>
    </w:p>
    <w:p>
      <w:pPr>
        <w:pStyle w:val="Heading1"/>
        <w:spacing w:after="180" w:before="360"/>
      </w:pPr>
      <w:r>
        <w:rPr>
          <w:rFonts w:ascii="Arial" w:cs="Arial" w:eastAsia="Arial" w:hAnsi="Arial"/>
          <w:b/>
          <w:bCs/>
          <w:color w:val="2E4057"/>
          <w:sz w:val="28"/>
          <w:szCs w:val="28"/>
        </w:rPr>
        <w:t xml:space="preserve">2. El grafo neurofisiológico (Semilla v1)</w:t>
      </w:r>
    </w:p>
    <w:p>
      <w:pPr>
        <w:spacing w:after="80" w:before="80"/>
      </w:pPr>
      <w:r>
        <w:rPr>
          <w:rFonts w:ascii="Arial" w:cs="Arial" w:eastAsia="Arial" w:hAnsi="Arial"/>
          <w:sz w:val="22"/>
          <w:szCs w:val="22"/>
        </w:rPr>
        <w:t xml:space="preserve">Leído de origen a efecto: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Nodo</w:t>
            </w:r>
          </w:p>
        </w:tc>
        <w:tc>
          <w:tcPr>
            <w:tcW w:type="dxa" w:w="61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Descripción funcional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VERBO PRIMORDIAL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Frecuencia fundante — Juan 1:1 · Luz → Sonido → Materia</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RITMO BASAL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Respiración, latido — antes de toda conciencia</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TONO VAGAL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Nervio vago ventral — plataforma somática</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ESTÓMAGO / DIGESTIÓN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Plataforma visceral — hay que comer primero</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ANANDAMIDA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Ventana bioquímica de acceso — interfaz de aterrizaje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SEÑAL DE ORIENTACIÓN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Estructura verbal interna — intención sostenida</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VERBO HUMANO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verbo → sonido = acción (operador consciente)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RECONSOLIDACIÓN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Reescritura del trazo mnémico — Nader</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b/>
                <w:bCs/>
                <w:color w:val="2E4057"/>
                <w:sz w:val="21"/>
                <w:szCs w:val="21"/>
              </w:rPr>
              <w:t xml:space="preserve">↓</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4057"/>
                <w:sz w:val="21"/>
                <w:szCs w:val="21"/>
              </w:rPr>
              <w:t xml:space="preserve">RECONFIGURACIÓN EPIGENÉTICA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Expresión génica modificada — Yehuda, Meaney</w:t>
            </w:r>
          </w:p>
        </w:tc>
      </w:tr>
    </w:tbl>
    <w:p>
      <w:pPr>
        <w:spacing w:after="100" w:before="100"/>
      </w:pPr>
      <w:r>
        <w:t xml:space="preserve"/>
      </w:r>
    </w:p>
    <w:p>
      <w:pPr>
        <w:spacing w:after="100" w:before="100"/>
      </w:pPr>
      <w:r>
        <w:t xml:space="preserve"/>
      </w:r>
    </w:p>
    <w:p>
      <w:pPr>
        <w:pStyle w:val="Heading1"/>
        <w:spacing w:after="180" w:before="360"/>
      </w:pPr>
      <w:r>
        <w:rPr>
          <w:rFonts w:ascii="Arial" w:cs="Arial" w:eastAsia="Arial" w:hAnsi="Arial"/>
          <w:b/>
          <w:bCs/>
          <w:color w:val="2E4057"/>
          <w:sz w:val="28"/>
          <w:szCs w:val="28"/>
        </w:rPr>
        <w:t xml:space="preserve">3. El ciclo práctico funcional</w:t>
      </w:r>
    </w:p>
    <w:p>
      <w:pPr>
        <w:spacing w:after="80" w:before="80"/>
      </w:pPr>
      <w:r>
        <w:rPr>
          <w:rFonts w:ascii="Arial" w:cs="Arial" w:eastAsia="Arial" w:hAnsi="Arial"/>
          <w:sz w:val="22"/>
          <w:szCs w:val="22"/>
        </w:rPr>
        <w:t xml:space="preserve">Construido en sesión del 28 de mayo. El orden no es intercambiable — cada paso activa la condición que permite el siguiente: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Paso</w:t>
            </w:r>
          </w:p>
        </w:tc>
        <w:tc>
          <w:tcPr>
            <w:tcW w:type="dxa" w:w="61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Función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Intención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Orienta el sistema antes de activarlo</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2</w:t>
            </w:r>
          </w:p>
        </w:tc>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Respiración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Regula el tono vagal — plataforma fisiológica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Concentración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Estrecha el campo atencional — silencia el Default Mode Network</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4</w:t>
            </w:r>
          </w:p>
        </w:tc>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Visualización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Activa representación interna — prepara el sustrato para reconsolidación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Verbalización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El Verbo opera — emite, nombra, instala</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6</w:t>
            </w:r>
          </w:p>
        </w:tc>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Recepción</w:t>
            </w:r>
          </w:p>
        </w:tc>
        <w:tc>
          <w:tcPr>
            <w:tcW w:type="dxa" w:w="6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El operador se retira — suspensión activa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Contemplación / Vacío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Ventana de máxima apertura — reconsolidación posible</w:t>
            </w:r>
          </w:p>
        </w:tc>
      </w:tr>
    </w:tbl>
    <w:p>
      <w:pPr>
        <w:spacing w:after="100" w:before="100"/>
      </w:pPr>
      <w:r>
        <w:t xml:space="preserve"/>
      </w:r>
    </w:p>
    <w:p>
      <w:pPr>
        <w:spacing w:after="100" w:before="100"/>
      </w:pPr>
      <w:r>
        <w:t xml:space="preserve"/>
      </w:r>
    </w:p>
    <w:p>
      <w:pPr>
        <w:pStyle w:val="Heading1"/>
        <w:spacing w:after="180" w:before="360"/>
      </w:pPr>
      <w:r>
        <w:rPr>
          <w:rFonts w:ascii="Arial" w:cs="Arial" w:eastAsia="Arial" w:hAnsi="Arial"/>
          <w:b/>
          <w:bCs/>
          <w:color w:val="2E4057"/>
          <w:sz w:val="28"/>
          <w:szCs w:val="28"/>
        </w:rPr>
        <w:t xml:space="preserve">4. Correspondencia integrada: ciclo práctico ↔ grafo neurofisiológico</w:t>
      </w:r>
    </w:p>
    <w:p>
      <w:pPr>
        <w:spacing w:after="80" w:before="80"/>
      </w:pPr>
      <w:r>
        <w:rPr>
          <w:rFonts w:ascii="Arial" w:cs="Arial" w:eastAsia="Arial" w:hAnsi="Arial"/>
          <w:sz w:val="22"/>
          <w:szCs w:val="22"/>
        </w:rPr>
        <w:t xml:space="preserve">Cada paso del ciclo práctico activa un nodo específico del grafo causal. La tabla siguiente muestra la correspondencia completa: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Paso práctico</w:t>
            </w:r>
          </w:p>
        </w:tc>
        <w:tc>
          <w:tcPr>
            <w:tcW w:type="dxa" w:w="3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Nodo del grafo</w:t>
            </w:r>
          </w:p>
        </w:tc>
        <w:tc>
          <w:tcPr>
            <w:tcW w:type="dxa" w:w="41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Lo que ocurre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Intención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Señal de orientación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El organismo se dirige hacia algo en lugar de huir — estructura verbal interna</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Respiración</w:t>
            </w:r>
          </w:p>
        </w:tc>
        <w:tc>
          <w:tcPr>
            <w:tcW w:type="dxa" w:w="3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Ritmo basal → Tono vagal</w:t>
            </w:r>
          </w:p>
        </w:tc>
        <w:tc>
          <w:tcPr>
            <w:tcW w:type="dxa" w:w="4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La respiración consciente eleva el tono vagal ventral — plataforma somática activada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Concentración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Tono vagal sostenido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El campo atencional se estrecha — se mantiene la plataforma sin dispersión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Visualización</w:t>
            </w:r>
          </w:p>
        </w:tc>
        <w:tc>
          <w:tcPr>
            <w:tcW w:type="dxa" w:w="3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Estómago / Digestión → Anandamida</w:t>
            </w:r>
          </w:p>
        </w:tc>
        <w:tc>
          <w:tcPr>
            <w:tcW w:type="dxa" w:w="4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El sustrato visceral prepara la ventana bioquímica de acceso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Verbalización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Verbo humano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El operador consciente actúa — verbo → sonido = acción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Recepción</w:t>
            </w:r>
          </w:p>
        </w:tc>
        <w:tc>
          <w:tcPr>
            <w:tcW w:type="dxa" w:w="3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Anandamida como interfaz</w:t>
            </w:r>
          </w:p>
        </w:tc>
        <w:tc>
          <w:tcPr>
            <w:tcW w:type="dxa" w:w="416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La señal del Verbo desciende del córtex al cuerpo — la interfaz está activa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Contemplación / Vacío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Reconsolidación → Reconfiguración epigenética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Ventana abierta — el trazo mnémico puede reescribirse</w:t>
            </w:r>
          </w:p>
        </w:tc>
      </w:tr>
    </w:tbl>
    <w:p>
      <w:pPr>
        <w:spacing w:after="100" w:before="100"/>
      </w:pPr>
      <w:r>
        <w:t xml:space="preserve"/>
      </w:r>
    </w:p>
    <w:p>
      <w:pPr>
        <w:spacing w:after="100" w:before="100"/>
      </w:pPr>
      <w:r>
        <w:t xml:space="preserve"/>
      </w:r>
    </w:p>
    <w:p>
      <w:pPr>
        <w:pStyle w:val="Heading1"/>
        <w:spacing w:after="180" w:before="360"/>
      </w:pPr>
      <w:r>
        <w:rPr>
          <w:rFonts w:ascii="Arial" w:cs="Arial" w:eastAsia="Arial" w:hAnsi="Arial"/>
          <w:b/>
          <w:bCs/>
          <w:color w:val="2E4057"/>
          <w:sz w:val="28"/>
          <w:szCs w:val="28"/>
        </w:rPr>
        <w:t xml:space="preserve">5. Lo que la correspondencia revela</w:t>
      </w:r>
    </w:p>
    <w:p>
      <w:pPr>
        <w:spacing w:after="80" w:before="80"/>
      </w:pPr>
      <w:r>
        <w:rPr>
          <w:rFonts w:ascii="Arial" w:cs="Arial" w:eastAsia="Arial" w:hAnsi="Arial"/>
          <w:sz w:val="22"/>
          <w:szCs w:val="22"/>
        </w:rPr>
        <w:t xml:space="preserve">El ciclo práctico no es metáfora del mecanismo. Es el mecanismo ejecutado conscientemente.</w:t>
      </w:r>
    </w:p>
    <w:p>
      <w:pPr>
        <w:spacing w:after="100" w:before="100"/>
      </w:pPr>
      <w:r>
        <w:t xml:space="preserve"/>
      </w:r>
    </w:p>
    <w:p>
      <w:pPr>
        <w:spacing w:after="80" w:before="80"/>
      </w:pPr>
      <w:r>
        <w:rPr>
          <w:rFonts w:ascii="Arial" w:cs="Arial" w:eastAsia="Arial" w:hAnsi="Arial"/>
          <w:sz w:val="22"/>
          <w:szCs w:val="22"/>
        </w:rPr>
        <w:t xml:space="preserve">Esto tiene una implicación directa para el argumento central de la tesis: si el protocolo práctico recorre exactamente el mismo grafo que describe el mecanismo neurofisiológico, entonces el Verbo como co-regulador primario no es solo un fenómeno que ocurre espontáneamente — es una competencia pedagógicamente transmisible.</w:t>
      </w:r>
    </w:p>
    <w:p>
      <w:pPr>
        <w:spacing w:after="100" w:before="100"/>
      </w:pPr>
      <w:r>
        <w:t xml:space="preserve"/>
      </w:r>
    </w:p>
    <w:p>
      <w:pPr>
        <w:spacing w:after="80" w:before="80"/>
      </w:pPr>
      <w:r>
        <w:rPr>
          <w:rFonts w:ascii="Arial" w:cs="Arial" w:eastAsia="Arial" w:hAnsi="Arial"/>
          <w:sz w:val="22"/>
          <w:szCs w:val="22"/>
        </w:rPr>
        <w:t xml:space="preserve">El practicante no espera el estado. Lo construye paso a paso, siguiendo el mismo orden causal que el sistema nervioso sigue cuando el proceso ocurre de forma natural.</w:t>
      </w:r>
    </w:p>
    <w:p>
      <w:pPr>
        <w:spacing w:after="100" w:before="100"/>
      </w:pPr>
      <w:r>
        <w:t xml:space="preserve"/>
      </w:r>
    </w:p>
    <w:p>
      <w:pPr>
        <w:spacing w:after="80" w:before="80"/>
      </w:pPr>
      <w:r>
        <w:rPr>
          <w:rFonts w:ascii="Arial" w:cs="Arial" w:eastAsia="Arial" w:hAnsi="Arial"/>
          <w:sz w:val="22"/>
          <w:szCs w:val="22"/>
        </w:rPr>
        <w:t xml:space="preserve">Esto conecta directamente con la demostración del Shaolin como laboratorio: el dominio del dolor a través del Verbo no es un don — es una competencia adquirida mediante práctica sistemática del mismo ciclo.</w:t>
      </w:r>
    </w:p>
    <w:p>
      <w:pPr>
        <w:spacing w:after="100" w:before="100"/>
      </w:pPr>
      <w:r>
        <w:t xml:space="preserve"/>
      </w:r>
    </w:p>
    <w:p>
      <w:pPr>
        <w:spacing w:after="100" w:before="100"/>
      </w:pPr>
      <w:r>
        <w:t xml:space="preserve"/>
      </w:r>
    </w:p>
    <w:p>
      <w:pPr>
        <w:pStyle w:val="Heading1"/>
        <w:spacing w:after="180" w:before="360"/>
      </w:pPr>
      <w:r>
        <w:rPr>
          <w:rFonts w:ascii="Arial" w:cs="Arial" w:eastAsia="Arial" w:hAnsi="Arial"/>
          <w:b/>
          <w:bCs/>
          <w:color w:val="2E4057"/>
          <w:sz w:val="28"/>
          <w:szCs w:val="28"/>
        </w:rPr>
        <w:t xml:space="preserve">6. Correlación con las tradiciones contemplativas</w:t>
      </w:r>
    </w:p>
    <w:p>
      <w:pPr>
        <w:spacing w:after="80" w:before="80"/>
      </w:pPr>
      <w:r>
        <w:rPr>
          <w:rFonts w:ascii="Arial" w:cs="Arial" w:eastAsia="Arial" w:hAnsi="Arial"/>
          <w:sz w:val="22"/>
          <w:szCs w:val="22"/>
        </w:rPr>
        <w:t xml:space="preserve">Las dos grandes tradiciones contemplativos describen el mismo ciclo desde marcos culturales distintos: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Fase</w:t>
            </w:r>
          </w:p>
        </w:tc>
        <w:tc>
          <w:tcPr>
            <w:tcW w:type="dxa" w:w="234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Occidente</w:t>
            </w:r>
          </w:p>
        </w:tc>
        <w:tc>
          <w:tcPr>
            <w:tcW w:type="dxa" w:w="234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Oriente</w:t>
            </w:r>
          </w:p>
        </w:tc>
        <w:tc>
          <w:tcPr>
            <w:tcW w:type="dxa" w:w="234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Nodo del grafo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Activa / Emisión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Oración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Mantrización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Verbo humano — verbalización</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Receptiva / Silencio</w:t>
            </w:r>
          </w:p>
        </w:tc>
        <w:tc>
          <w:tcPr>
            <w:tcW w:type="dxa" w:w="234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Contemplación</w:t>
            </w:r>
          </w:p>
        </w:tc>
        <w:tc>
          <w:tcPr>
            <w:tcW w:type="dxa" w:w="234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Meditación</w:t>
            </w:r>
          </w:p>
        </w:tc>
        <w:tc>
          <w:tcPr>
            <w:tcW w:type="dxa" w:w="234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tcPr>
          <w:p>
            <w:r>
              <w:rPr>
                <w:rFonts w:ascii="Arial" w:cs="Arial" w:eastAsia="Arial" w:hAnsi="Arial"/>
                <w:sz w:val="21"/>
                <w:szCs w:val="21"/>
              </w:rPr>
              <w:t xml:space="preserve">Contemplación / Vacío</w:t>
            </w:r>
          </w:p>
        </w:tc>
      </w:tr>
    </w:tbl>
    <w:p>
      <w:pPr>
        <w:spacing w:after="100" w:before="100"/>
      </w:pPr>
      <w:r>
        <w:t xml:space="preserve"/>
      </w:r>
    </w:p>
    <w:p>
      <w:pPr>
        <w:spacing w:after="80" w:before="80"/>
      </w:pPr>
      <w:r>
        <w:rPr>
          <w:rFonts w:ascii="Arial" w:cs="Arial" w:eastAsia="Arial" w:hAnsi="Arial"/>
          <w:sz w:val="22"/>
          <w:szCs w:val="22"/>
        </w:rPr>
        <w:t xml:space="preserve">Nota: la meditación no es el equivalente de la oración. Es el equivalente de la contemplación. El error común en Occidente es tratar la meditación como práctica activa dirigida. En Oriente, el error simétrico es tratar el mantra como estado de silencio. Son fases distintas del mismo ciclo.</w:t>
      </w:r>
    </w:p>
    <w:p>
      <w:pPr>
        <w:spacing w:after="100" w:before="100"/>
      </w:pPr>
      <w:r>
        <w:t xml:space="preserve"/>
      </w:r>
    </w:p>
    <w:p>
      <w:pPr>
        <w:spacing w:after="100" w:before="100"/>
      </w:pPr>
      <w:r>
        <w:t xml:space="preserve"/>
      </w:r>
    </w:p>
    <w:p>
      <w:pPr>
        <w:pStyle w:val="Heading1"/>
        <w:spacing w:after="180" w:before="360"/>
      </w:pPr>
      <w:r>
        <w:rPr>
          <w:rFonts w:ascii="Arial" w:cs="Arial" w:eastAsia="Arial" w:hAnsi="Arial"/>
          <w:b/>
          <w:bCs/>
          <w:color w:val="2E4057"/>
          <w:sz w:val="28"/>
          <w:szCs w:val="28"/>
        </w:rPr>
        <w:t xml:space="preserve">7. Pregunta abierta</w:t>
      </w:r>
    </w:p>
    <w:p>
      <w:pPr>
        <w:spacing w:after="80" w:before="80"/>
      </w:pPr>
      <w:r>
        <w:rPr>
          <w:rFonts w:ascii="Arial" w:cs="Arial" w:eastAsia="Arial" w:hAnsi="Arial"/>
          <w:i/>
          <w:iCs/>
          <w:color w:val="555555"/>
          <w:sz w:val="22"/>
          <w:szCs w:val="22"/>
        </w:rPr>
        <w:t xml:space="preserve">¿Puede el Verbo primordial, mediante práctica contemplativa sostenida (Qi Gong, meditación, oración), elevar el tono vagal basal de forma duradera — creando una condición crónica de disponibilidad de anandamida?</w:t>
      </w:r>
    </w:p>
    <w:p>
      <w:pPr>
        <w:spacing w:after="100" w:before="100"/>
      </w:pPr>
      <w:r>
        <w:t xml:space="preserve"/>
      </w:r>
    </w:p>
    <w:p>
      <w:pPr>
        <w:spacing w:after="80" w:before="80"/>
      </w:pPr>
      <w:r>
        <w:rPr>
          <w:rFonts w:ascii="Arial" w:cs="Arial" w:eastAsia="Arial" w:hAnsi="Arial"/>
          <w:sz w:val="22"/>
          <w:szCs w:val="22"/>
        </w:rPr>
        <w:t xml:space="preserve">Si la respuesta es sí, el grafo se vuelve circular. La práctica repetida del ciclo no solo produce el estado en cada sesión — modifica la línea base fisiológica del practicante. El Verbo deja de ser un operador ocasional y se convierte en condición permanente del sistema.</w:t>
      </w:r>
    </w:p>
    <w:p>
      <w:pPr>
        <w:spacing w:after="100" w:before="100"/>
      </w:pPr>
      <w:r>
        <w:t xml:space="preserve"/>
      </w:r>
    </w:p>
    <w:p>
      <w:pPr>
        <w:spacing w:after="80" w:before="80"/>
      </w:pPr>
      <w:r>
        <w:rPr>
          <w:rFonts w:ascii="Arial" w:cs="Arial" w:eastAsia="Arial" w:hAnsi="Arial"/>
          <w:sz w:val="22"/>
          <w:szCs w:val="22"/>
        </w:rPr>
        <w:t xml:space="preserve">Esto añadiría a la tesis una dimensión preventiva, no solo operativa: el practicante habitual no necesita reconstruir la plataforma cada vez — ya opera desde un tono vagal elevado como estado basal.</w:t>
      </w:r>
    </w:p>
    <w:p>
      <w:pPr>
        <w:spacing w:after="100" w:before="100"/>
      </w:pPr>
      <w:r>
        <w:t xml:space="preserve"/>
      </w:r>
    </w:p>
    <w:p>
      <w:pPr>
        <w:spacing w:after="80" w:before="80"/>
      </w:pPr>
      <w:r>
        <w:rPr>
          <w:rFonts w:ascii="Arial" w:cs="Arial" w:eastAsia="Arial" w:hAnsi="Arial"/>
          <w:sz w:val="22"/>
          <w:szCs w:val="22"/>
        </w:rPr>
        <w:t xml:space="preserve">Esta pregunta queda abierta para desarrollo en sesión posterior.</w:t>
      </w:r>
    </w:p>
    <w:p>
      <w:pPr>
        <w:spacing w:after="100" w:before="100"/>
      </w:pPr>
      <w:r>
        <w:t xml:space="preserve"/>
      </w:r>
    </w:p>
    <w:p>
      <w:pPr>
        <w:spacing w:after="100" w:before="100"/>
      </w:pPr>
      <w:r>
        <w:t xml:space="preserve"/>
      </w:r>
    </w:p>
    <w:p>
      <w:pPr>
        <w:pBdr>
          <w:top w:val="single" w:color="2E4057" w:sz="4" w:space="6"/>
        </w:pBdr>
        <w:spacing w:after="60" w:before="200"/>
        <w:jc w:val="center"/>
      </w:pPr>
      <w:r>
        <w:rPr>
          <w:rFonts w:ascii="Arial" w:cs="Arial" w:eastAsia="Arial" w:hAnsi="Arial"/>
          <w:i/>
          <w:iCs/>
          <w:color w:val="888888"/>
          <w:sz w:val="18"/>
          <w:szCs w:val="18"/>
        </w:rPr>
        <w:t xml:space="preserve">Semilla Teórica v2  ·  El Verbo como Co-regulador Primario  ·  GMinino/El-Verbo</w:t>
      </w:r>
    </w:p>
    <w:p>
      <w:pPr>
        <w:jc w:val="center"/>
      </w:pPr>
      <w:r>
        <w:rPr>
          <w:rFonts w:ascii="Arial" w:cs="Arial" w:eastAsia="Arial" w:hAnsi="Arial"/>
          <w:color w:val="888888"/>
          <w:sz w:val="18"/>
          <w:szCs w:val="18"/>
        </w:rPr>
        <w:t xml:space="preserve">Guillermo Emigdio Miniño Álvarez  ·  Villa Soñador, Bonao, República Dominicana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Guillermo Emigdio Miniño Álvarez  ·  El Verbo como Co-regulador Primario  ·  Villa Soñador, Bonao, RD  ·  2026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2026-05-29T00:17:06.643Z</dcterms:created>
  <dcterms:modified xsi:type="dcterms:W3CDTF">2026-05-29T00:17:06.644Z</dcterms:modified>
</cp:coreProperties>
</file>

<file path=docProps/custom.xml><?xml version="1.0" encoding="utf-8"?>
<Properties xmlns="http://schemas.openxmlformats.org/officeDocument/2006/custom-properties" xmlns:vt="http://schemas.openxmlformats.org/officeDocument/2006/docPropsVTypes"/>
</file>