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200"/>
        <w:jc w:val="center"/>
      </w:pPr>
      <w:r>
        <w:rPr>
          <w:rFonts w:ascii="Arial" w:cs="Arial" w:eastAsia="Arial" w:hAnsi="Arial"/>
          <w:b/>
          <w:bCs/>
          <w:color w:val="1F3864"/>
          <w:sz w:val="40"/>
          <w:szCs w:val="40"/>
        </w:rPr>
        <w:t xml:space="preserve">EL VERBO COMO CO-REGULADOR PRIMARIO</w:t>
      </w:r>
    </w:p>
    <w:p>
      <w:pPr>
        <w:spacing w:after="100"/>
        <w:jc w:val="center"/>
      </w:pPr>
      <w:r>
        <w:rPr>
          <w:rFonts w:ascii="Arial" w:cs="Arial" w:eastAsia="Arial" w:hAnsi="Arial"/>
          <w:i/>
          <w:iCs/>
          <w:color w:val="555555"/>
          <w:sz w:val="26"/>
          <w:szCs w:val="26"/>
        </w:rPr>
        <w:t xml:space="preserve">Núcleo Filosófico — Versión Auditada</w:t>
      </w:r>
    </w:p>
    <w:p>
      <w:pPr>
        <w:spacing w:after="100"/>
        <w:jc w:val="center"/>
      </w:pPr>
      <w:r>
        <w:rPr>
          <w:rFonts w:ascii="Arial" w:cs="Arial" w:eastAsia="Arial" w:hAnsi="Arial"/>
          <w:b/>
          <w:bCs/>
          <w:sz w:val="24"/>
          <w:szCs w:val="24"/>
        </w:rPr>
        <w:t xml:space="preserve">Guillermo Emigdio Miniño Álvarez</w:t>
      </w:r>
    </w:p>
    <w:p>
      <w:pPr>
        <w:spacing w:after="100"/>
        <w:jc w:val="center"/>
      </w:pPr>
      <w:r>
        <w:rPr>
          <w:rFonts w:ascii="Arial" w:cs="Arial" w:eastAsia="Arial" w:hAnsi="Arial"/>
          <w:color w:val="777777"/>
          <w:sz w:val="22"/>
          <w:szCs w:val="22"/>
        </w:rPr>
        <w:t xml:space="preserve">Sesión de formulación: mayo 2026</w:t>
      </w:r>
    </w:p>
    <w:p>
      <w:pPr>
        <w:spacing w:after="400"/>
        <w:jc w:val="center"/>
      </w:pPr>
      <w:r>
        <w:rPr>
          <w:rFonts w:ascii="Arial" w:cs="Arial" w:eastAsia="Arial" w:hAnsi="Arial"/>
          <w:color w:val="777777"/>
          <w:sz w:val="22"/>
          <w:szCs w:val="22"/>
        </w:rPr>
        <w:t xml:space="preserve">Villa Soñador, Bonao, República Dominicana</w:t>
      </w:r>
    </w:p>
    <w:p>
      <w:pPr>
        <w:pBdr>
          <w:bottom w:val="single" w:color="CCCCCC" w:sz="4" w:space="1"/>
        </w:pBdr>
        <w:spacing w:after="200" w:before="200"/>
      </w:pPr>
      <w:r>
        <w:t xml:space="preserve"/>
      </w:r>
    </w:p>
    <w:p>
      <w:pPr>
        <w:spacing w:after="100"/>
      </w:pPr>
      <w:r>
        <w:t xml:space="preserve"/>
      </w:r>
    </w:p>
    <w:p>
      <w:pPr>
        <w:spacing w:after="120"/>
      </w:pPr>
      <w:r>
        <w:rPr>
          <w:rFonts w:ascii="Arial" w:cs="Arial" w:eastAsia="Arial" w:hAnsi="Arial"/>
          <w:b/>
          <w:bCs/>
          <w:color w:val="1F3864"/>
          <w:sz w:val="24"/>
          <w:szCs w:val="24"/>
        </w:rPr>
        <w:t xml:space="preserve">Nota metodológica</w:t>
      </w:r>
    </w:p>
    <w:p>
      <w:pPr>
        <w:spacing w:after="160"/>
        <w:jc w:val="both"/>
      </w:pPr>
      <w:r>
        <w:rPr>
          <w:rFonts w:ascii="Arial" w:cs="Arial" w:eastAsia="Arial" w:hAnsi="Arial"/>
          <w:sz w:val="22"/>
          <w:szCs w:val="22"/>
        </w:rPr>
        <w:t xml:space="preserve">Este documento captura el núcleo filosófico de la tesis tal como fue formulado en sesión de trabajo. Cada punto incluye una nota de estado epistémico con tres categorías posibles:</w:t>
      </w:r>
    </w:p>
    <w:p>
      <w:pPr>
        <w:pStyle w:val="ListParagraph"/>
        <w:numPr>
          <w:ilvl w:val="0"/>
          <w:numId w:val="2"/>
        </w:numPr>
        <w:spacing w:after="80"/>
      </w:pPr>
      <w:r>
        <w:rPr>
          <w:rFonts w:ascii="Arial" w:cs="Arial" w:eastAsia="Arial" w:hAnsi="Arial"/>
          <w:sz w:val="22"/>
          <w:szCs w:val="22"/>
        </w:rPr>
        <w:t xml:space="preserve">Hecho establecido: respaldado por evidencia científica consolidada, citable directamente.</w:t>
      </w:r>
    </w:p>
    <w:p>
      <w:pPr>
        <w:pStyle w:val="ListParagraph"/>
        <w:numPr>
          <w:ilvl w:val="0"/>
          <w:numId w:val="2"/>
        </w:numPr>
        <w:spacing w:after="80"/>
      </w:pPr>
      <w:r>
        <w:rPr>
          <w:rFonts w:ascii="Arial" w:cs="Arial" w:eastAsia="Arial" w:hAnsi="Arial"/>
          <w:sz w:val="22"/>
          <w:szCs w:val="22"/>
        </w:rPr>
        <w:t xml:space="preserve">Inferencia lógica: derivada coherentemente de evidencia existente, pero no demostrada como ley universal.</w:t>
      </w:r>
    </w:p>
    <w:p>
      <w:pPr>
        <w:pStyle w:val="ListParagraph"/>
        <w:numPr>
          <w:ilvl w:val="0"/>
          <w:numId w:val="2"/>
        </w:numPr>
        <w:spacing w:after="200"/>
      </w:pPr>
      <w:r>
        <w:rPr>
          <w:rFonts w:ascii="Arial" w:cs="Arial" w:eastAsia="Arial" w:hAnsi="Arial"/>
          <w:sz w:val="22"/>
          <w:szCs w:val="22"/>
        </w:rPr>
        <w:t xml:space="preserve">Hipótesis de trabajo / Marco interpretativo: coherente internamente, requiere desarrollo o validación adicional.</w:t>
      </w:r>
    </w:p>
    <w:p>
      <w:pPr>
        <w:spacing w:after="160"/>
        <w:jc w:val="both"/>
      </w:pPr>
      <w:r>
        <w:rPr>
          <w:rFonts w:ascii="Arial" w:cs="Arial" w:eastAsia="Arial" w:hAnsi="Arial"/>
          <w:sz w:val="22"/>
          <w:szCs w:val="22"/>
        </w:rPr>
        <w:t xml:space="preserve">Donde se indica 'Buscar:', se señala literatura científica específica para rastrear confirmación o refutación.</w:t>
      </w:r>
    </w:p>
    <w:p>
      <w:pPr>
        <w:pBdr>
          <w:bottom w:val="single" w:color="CCCCCC" w:sz="4" w:space="1"/>
        </w:pBdr>
        <w:spacing w:after="200" w:before="200"/>
      </w:pPr>
      <w:r>
        <w:t xml:space="preserve"/>
      </w:r>
    </w:p>
    <w:p>
      <w:pPr>
        <w:pStyle w:val="Heading2"/>
        <w:spacing w:after="100" w:before="300"/>
      </w:pPr>
      <w:r>
        <w:rPr>
          <w:rFonts w:ascii="Arial" w:cs="Arial" w:eastAsia="Arial" w:hAnsi="Arial"/>
          <w:b/>
          <w:bCs/>
          <w:color w:val="2E5496"/>
          <w:sz w:val="26"/>
          <w:szCs w:val="26"/>
        </w:rPr>
        <w:t xml:space="preserve">1. La emoción como sistema de evaluación primaria</w:t>
      </w:r>
    </w:p>
    <w:p>
      <w:pPr>
        <w:spacing w:after="160"/>
        <w:jc w:val="both"/>
      </w:pPr>
      <w:r>
        <w:rPr>
          <w:rFonts w:ascii="Arial" w:cs="Arial" w:eastAsia="Arial" w:hAnsi="Arial"/>
          <w:sz w:val="22"/>
          <w:szCs w:val="22"/>
        </w:rPr>
        <w:t xml:space="preserve">Las emociones son el mecanismo biológico de evaluación orientada a la supervivencia. Son medibles mediante marcadores fisiológicos: cortisol, adrenalina, variabilidad de frecuencia cardíaca, activación amigdalar en neuroimagen. Los sentimientos son la representación consciente de ese estado biológico — están en un plano distinto de organización y no son directamente medibles; se reportan, no se miden. Son el mismo fenómeno en dos capas diferentes: como el calor y la temperatura.</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Hecho establecido — </w:t>
      </w:r>
      <w:r>
        <w:rPr>
          <w:rFonts w:ascii="Arial" w:cs="Arial" w:eastAsia="Arial" w:hAnsi="Arial"/>
          <w:i/>
          <w:iCs/>
          <w:color w:val="555555"/>
          <w:sz w:val="20"/>
          <w:szCs w:val="20"/>
        </w:rPr>
        <w:t xml:space="preserve">LeDoux (The Emotional Brain, 1996), Damasio (El error de Descartes, 1994), James-Lange (1884). Sólido para citar directamente en la tesis.</w:t>
      </w:r>
    </w:p>
    <w:p>
      <w:pPr>
        <w:pStyle w:val="Heading2"/>
        <w:spacing w:after="100" w:before="300"/>
      </w:pPr>
      <w:r>
        <w:rPr>
          <w:rFonts w:ascii="Arial" w:cs="Arial" w:eastAsia="Arial" w:hAnsi="Arial"/>
          <w:b/>
          <w:bCs/>
          <w:color w:val="2E5496"/>
          <w:sz w:val="26"/>
          <w:szCs w:val="26"/>
        </w:rPr>
        <w:t xml:space="preserve">2. El desfase evolutivo</w:t>
      </w:r>
    </w:p>
    <w:p>
      <w:pPr>
        <w:spacing w:after="160"/>
        <w:jc w:val="both"/>
      </w:pPr>
      <w:r>
        <w:rPr>
          <w:rFonts w:ascii="Arial" w:cs="Arial" w:eastAsia="Arial" w:hAnsi="Arial"/>
          <w:sz w:val="22"/>
          <w:szCs w:val="22"/>
        </w:rPr>
        <w:t xml:space="preserve">El sistema emocional fue calibrado durante cientos de miles de años para un entorno específico: amenazas físicas inmediatas y visibles, recompensas escasas y concretas, grupo social pequeño y estable, ciclos naturales de esfuerzo y descanso. La industrialización — y más aún la modernidad digital — introdujo en pocas generaciones amenazas abstractas y crónicas, recompensas artificialmente abundantes, grupos sociales masivos e inestables, y ruptura de los ciclos naturales. El sistema emocional no evolucionó para ese entorno, pero sigue respondiendo como si fuera sabana. Ese desfase — no la emoción en sí — es la fuente principal del error humano moderno.</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Inferencia lógica bien fundamentada — </w:t>
      </w:r>
      <w:r>
        <w:rPr>
          <w:rFonts w:ascii="Arial" w:cs="Arial" w:eastAsia="Arial" w:hAnsi="Arial"/>
          <w:i/>
          <w:iCs/>
          <w:color w:val="555555"/>
          <w:sz w:val="20"/>
          <w:szCs w:val="20"/>
        </w:rPr>
        <w:t xml:space="preserve">El concepto de evolutionary mismatch existe en biología evolutiva y psicología evolucionista. Su aplicación al error decisional moderno es una extrapolación coherente pero no universalmente aceptada como ley.</w:t>
      </w:r>
      <w:r>
        <w:rPr>
          <w:rFonts w:ascii="Arial" w:cs="Arial" w:eastAsia="Arial" w:hAnsi="Arial"/>
          <w:b/>
          <w:bCs/>
          <w:color w:val="C00000"/>
          <w:sz w:val="20"/>
          <w:szCs w:val="20"/>
        </w:rPr>
        <w:t xml:space="preserve">  |  Buscar: </w:t>
      </w:r>
      <w:r>
        <w:rPr>
          <w:rFonts w:ascii="Arial" w:cs="Arial" w:eastAsia="Arial" w:hAnsi="Arial"/>
          <w:color w:val="C00000"/>
          <w:sz w:val="20"/>
          <w:szCs w:val="20"/>
        </w:rPr>
        <w:t xml:space="preserve">Randolph Nesse, Good Reasons for Bad Feelings (2019). John Bowlby, teoría del apego.</w:t>
      </w:r>
    </w:p>
    <w:p>
      <w:pPr>
        <w:pStyle w:val="Heading2"/>
        <w:spacing w:after="100" w:before="300"/>
      </w:pPr>
      <w:r>
        <w:rPr>
          <w:rFonts w:ascii="Arial" w:cs="Arial" w:eastAsia="Arial" w:hAnsi="Arial"/>
          <w:b/>
          <w:bCs/>
          <w:color w:val="2E5496"/>
          <w:sz w:val="26"/>
          <w:szCs w:val="26"/>
        </w:rPr>
        <w:t xml:space="preserve">3. El axioma del sustrato</w:t>
      </w:r>
    </w:p>
    <w:p>
      <w:pPr>
        <w:spacing w:after="160"/>
        <w:jc w:val="both"/>
      </w:pPr>
      <w:r>
        <w:rPr>
          <w:rFonts w:ascii="Arial" w:cs="Arial" w:eastAsia="Arial" w:hAnsi="Arial"/>
          <w:sz w:val="22"/>
          <w:szCs w:val="22"/>
        </w:rPr>
        <w:t xml:space="preserve">Axioma formulado por el autor: "La espiritualidad empieza en la barriga." Un ser con hambre no piensa — y más precisamente: un organismo en déficit energético o en alarma visceral no tiene recursos disponibles para los niveles superiores de procesamiento. La variabilidad de frecuencia cardíaca (HRV) debe estar alta desde el plano físico primero. Intentar acceder a niveles superiores de regulación o espiritualidad sin el sustrato físico regulado requiere asistencia externa o produce ilusión. El orden no es invertible sin costo. Pretender el estado espiritual sin el sustrato es el error estructural de gran parte de la espiritualidad mal fundamentada.</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Parcialmente establecido — </w:t>
      </w:r>
      <w:r>
        <w:rPr>
          <w:rFonts w:ascii="Arial" w:cs="Arial" w:eastAsia="Arial" w:hAnsi="Arial"/>
          <w:i/>
          <w:iCs/>
          <w:color w:val="555555"/>
          <w:sz w:val="20"/>
          <w:szCs w:val="20"/>
        </w:rPr>
        <w:t xml:space="preserve">La relación HRV alto / mayor disponibilidad cognitiva y emocional está bien documentada. La afirmación sobre la irreversibilidad del orden es una hipótesis de trabajo del autor, coherente con la evidencia pero no demostrada como ley universal.</w:t>
      </w:r>
      <w:r>
        <w:rPr>
          <w:rFonts w:ascii="Arial" w:cs="Arial" w:eastAsia="Arial" w:hAnsi="Arial"/>
          <w:b/>
          <w:bCs/>
          <w:color w:val="C00000"/>
          <w:sz w:val="20"/>
          <w:szCs w:val="20"/>
        </w:rPr>
        <w:t xml:space="preserve">  |  Buscar: </w:t>
      </w:r>
      <w:r>
        <w:rPr>
          <w:rFonts w:ascii="Arial" w:cs="Arial" w:eastAsia="Arial" w:hAnsi="Arial"/>
          <w:color w:val="C00000"/>
          <w:sz w:val="20"/>
          <w:szCs w:val="20"/>
        </w:rPr>
        <w:t xml:space="preserve">Stephen Porges, Polyvagal Theory (2011). McCraty, HeartMath Institute. TCM: el Qi no fluye en un cuerpo obstruido.</w:t>
      </w:r>
    </w:p>
    <w:p>
      <w:pPr>
        <w:pStyle w:val="Heading2"/>
        <w:spacing w:after="100" w:before="300"/>
      </w:pPr>
      <w:r>
        <w:rPr>
          <w:rFonts w:ascii="Arial" w:cs="Arial" w:eastAsia="Arial" w:hAnsi="Arial"/>
          <w:b/>
          <w:bCs/>
          <w:color w:val="2E5496"/>
          <w:sz w:val="26"/>
          <w:szCs w:val="26"/>
        </w:rPr>
        <w:t xml:space="preserve">4. El Verbo como agente generativo — no solo regulatorio</w:t>
      </w:r>
    </w:p>
    <w:p>
      <w:pPr>
        <w:spacing w:after="160"/>
        <w:jc w:val="both"/>
      </w:pPr>
      <w:r>
        <w:rPr>
          <w:rFonts w:ascii="Arial" w:cs="Arial" w:eastAsia="Arial" w:hAnsi="Arial"/>
          <w:sz w:val="22"/>
          <w:szCs w:val="22"/>
        </w:rPr>
        <w:t xml:space="preserve">El Verbo no regula en sentido homeostático. Produce vibración que, dirigida con intención, genera un estado que antes no existía en el receptor. Esta distinción es fundamental: un regulador mantiene un estado dentro de parámetros; un generador dirigido produce un estado nuevo. Eso acerca el verbo biológico humano al Verbo de Juan 1:1 no por metáfora sino por analogía funcional de principio en escalas distintas de organización de la realidad.</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Hipótesis de trabajo — formulación original del autor — </w:t>
      </w:r>
      <w:r>
        <w:rPr>
          <w:rFonts w:ascii="Arial" w:cs="Arial" w:eastAsia="Arial" w:hAnsi="Arial"/>
          <w:i/>
          <w:iCs/>
          <w:color w:val="555555"/>
          <w:sz w:val="20"/>
          <w:szCs w:val="20"/>
        </w:rPr>
        <w:t xml:space="preserve">La distinción regulación/generación es original. Tiene respaldo parcial en investigación sobre impacto de la voz en el sistema nervioso del otro, pero la formulación como principio general requiere desarrollo.</w:t>
      </w:r>
      <w:r>
        <w:rPr>
          <w:rFonts w:ascii="Arial" w:cs="Arial" w:eastAsia="Arial" w:hAnsi="Arial"/>
          <w:b/>
          <w:bCs/>
          <w:color w:val="C00000"/>
          <w:sz w:val="20"/>
          <w:szCs w:val="20"/>
        </w:rPr>
        <w:t xml:space="preserve">  |  Buscar: </w:t>
      </w:r>
      <w:r>
        <w:rPr>
          <w:rFonts w:ascii="Arial" w:cs="Arial" w:eastAsia="Arial" w:hAnsi="Arial"/>
          <w:color w:val="C00000"/>
          <w:sz w:val="20"/>
          <w:szCs w:val="20"/>
        </w:rPr>
        <w:t xml:space="preserve">Investigación sobre prosodia vocal y regulación del SNA en díadas humano-animal y madre-infante. Allan Schore, regulación afectiva diádica.</w:t>
      </w:r>
    </w:p>
    <w:p>
      <w:pPr>
        <w:pStyle w:val="Heading2"/>
        <w:spacing w:after="100" w:before="300"/>
      </w:pPr>
      <w:r>
        <w:rPr>
          <w:rFonts w:ascii="Arial" w:cs="Arial" w:eastAsia="Arial" w:hAnsi="Arial"/>
          <w:b/>
          <w:bCs/>
          <w:color w:val="2E5496"/>
          <w:sz w:val="26"/>
          <w:szCs w:val="26"/>
        </w:rPr>
        <w:t xml:space="preserve">5. El puente entre planos</w:t>
      </w:r>
    </w:p>
    <w:p>
      <w:pPr>
        <w:spacing w:after="160"/>
        <w:jc w:val="both"/>
      </w:pPr>
      <w:r>
        <w:rPr>
          <w:rFonts w:ascii="Arial" w:cs="Arial" w:eastAsia="Arial" w:hAnsi="Arial"/>
          <w:sz w:val="22"/>
          <w:szCs w:val="22"/>
        </w:rPr>
        <w:t xml:space="preserve">El Verbo cosmológico de Juan 1:1 opera produciendo estructura donde había potencial no organizado. El verbo biológico humano opera produciendo estados donde había oscilación no dirigida. Mismo principio. Diferente escala. Diferente densidad de sustrato. Esta formulación no es metáfora teológica disfrazada de ciencia — es analogía de principio reconocible en dos niveles de organización de la realidad. El Logos griego no significa "palabra" en sentido coloquial sino razón ordenadora, patrón generativo.</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Marco interpretativo filosófico-teológico — </w:t>
      </w:r>
      <w:r>
        <w:rPr>
          <w:rFonts w:ascii="Arial" w:cs="Arial" w:eastAsia="Arial" w:hAnsi="Arial"/>
          <w:i/>
          <w:iCs/>
          <w:color w:val="555555"/>
          <w:sz w:val="20"/>
          <w:szCs w:val="20"/>
        </w:rPr>
        <w:t xml:space="preserve">No es falseable científicamente — ni debe serlo. Su validez es hermenéutica y coherencial, no experimental. Debe presentarse explícitamente como tal en la tesis para mantener integridad epistemológica. No requiere confirmación científica; requiere coherencia interna.</w:t>
      </w:r>
    </w:p>
    <w:p>
      <w:pPr>
        <w:pStyle w:val="Heading2"/>
        <w:spacing w:after="100" w:before="300"/>
      </w:pPr>
      <w:r>
        <w:rPr>
          <w:rFonts w:ascii="Arial" w:cs="Arial" w:eastAsia="Arial" w:hAnsi="Arial"/>
          <w:b/>
          <w:bCs/>
          <w:color w:val="2E5496"/>
          <w:sz w:val="26"/>
          <w:szCs w:val="26"/>
        </w:rPr>
        <w:t xml:space="preserve">6. La corresponsabilidad ontológica</w:t>
      </w:r>
    </w:p>
    <w:p>
      <w:pPr>
        <w:spacing w:after="160"/>
        <w:jc w:val="both"/>
      </w:pPr>
      <w:r>
        <w:rPr>
          <w:rFonts w:ascii="Arial" w:cs="Arial" w:eastAsia="Arial" w:hAnsi="Arial"/>
          <w:sz w:val="22"/>
          <w:szCs w:val="22"/>
        </w:rPr>
        <w:t xml:space="preserve">Si el Verbo siempre produce — con intención o sin ella — entonces el emisor no puede ser neutral. El silencio también es un acto: no hablar no es neutralidad, es permitir que el campo oscile sin dirección. Un Verbo emitido desde el sistema simpático activado — desde miedo, rabia, urgencia no regulada — también produce, pero produce desorganización en el receptor. La intención sin sustrato regulado es ruido con forma. De aquí emerge una responsabilidad no moral en sentido de mandato externo, sino ontológica: el emisor participa en la construcción de la realidad del otro quiera o no.</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Inferencia lógica derivada de los puntos anteriores — </w:t>
      </w:r>
      <w:r>
        <w:rPr>
          <w:rFonts w:ascii="Arial" w:cs="Arial" w:eastAsia="Arial" w:hAnsi="Arial"/>
          <w:i/>
          <w:iCs/>
          <w:color w:val="555555"/>
          <w:sz w:val="20"/>
          <w:szCs w:val="20"/>
        </w:rPr>
        <w:t xml:space="preserve">La parte sobre SS activado y desorganización tiene respaldo en investigación sobre trauma relacional y contagio emocional. La formulación ontológica completa es filosófica, no científica.</w:t>
      </w:r>
      <w:r>
        <w:rPr>
          <w:rFonts w:ascii="Arial" w:cs="Arial" w:eastAsia="Arial" w:hAnsi="Arial"/>
          <w:b/>
          <w:bCs/>
          <w:color w:val="C00000"/>
          <w:sz w:val="20"/>
          <w:szCs w:val="20"/>
        </w:rPr>
        <w:t xml:space="preserve">  |  Buscar: </w:t>
      </w:r>
      <w:r>
        <w:rPr>
          <w:rFonts w:ascii="Arial" w:cs="Arial" w:eastAsia="Arial" w:hAnsi="Arial"/>
          <w:color w:val="C00000"/>
          <w:sz w:val="20"/>
          <w:szCs w:val="20"/>
        </w:rPr>
        <w:t xml:space="preserve">Elaine Hatfield, contagio emocional. Allan Schore, regulación afectiva diádica. Daniel Siegel, neurobiología interpersonal.</w:t>
      </w:r>
    </w:p>
    <w:p>
      <w:pPr>
        <w:pStyle w:val="Heading2"/>
        <w:spacing w:after="100" w:before="300"/>
      </w:pPr>
      <w:r>
        <w:rPr>
          <w:rFonts w:ascii="Arial" w:cs="Arial" w:eastAsia="Arial" w:hAnsi="Arial"/>
          <w:b/>
          <w:bCs/>
          <w:color w:val="2E5496"/>
          <w:sz w:val="26"/>
          <w:szCs w:val="26"/>
        </w:rPr>
        <w:t xml:space="preserve">7. Las tres condiciones secuenciales</w:t>
      </w:r>
    </w:p>
    <w:p>
      <w:pPr>
        <w:spacing w:after="160"/>
        <w:jc w:val="both"/>
      </w:pPr>
      <w:r>
        <w:rPr>
          <w:rFonts w:ascii="Arial" w:cs="Arial" w:eastAsia="Arial" w:hAnsi="Arial"/>
          <w:sz w:val="22"/>
          <w:szCs w:val="22"/>
        </w:rPr>
        <w:t xml:space="preserve">Para que el Verbo opere como agente generativo y no como ruido, se requieren tres condiciones en orden no invertible:</w:t>
      </w:r>
    </w:p>
    <w:p>
      <w:pPr>
        <w:pStyle w:val="ListParagraph"/>
        <w:numPr>
          <w:ilvl w:val="0"/>
          <w:numId w:val="3"/>
        </w:numPr>
        <w:spacing w:after="100"/>
      </w:pPr>
      <w:r>
        <w:rPr>
          <w:rFonts w:ascii="Arial" w:cs="Arial" w:eastAsia="Arial" w:hAnsi="Arial"/>
          <w:sz w:val="22"/>
          <w:szCs w:val="22"/>
        </w:rPr>
        <w:t xml:space="preserve">Sustrato físico regulado: HRV alto, cuerpo disponible, sistema nervioso en tono parasimpático de base.</w:t>
      </w:r>
    </w:p>
    <w:p>
      <w:pPr>
        <w:pStyle w:val="ListParagraph"/>
        <w:numPr>
          <w:ilvl w:val="0"/>
          <w:numId w:val="3"/>
        </w:numPr>
        <w:spacing w:after="100"/>
      </w:pPr>
      <w:r>
        <w:rPr>
          <w:rFonts w:ascii="Arial" w:cs="Arial" w:eastAsia="Arial" w:hAnsi="Arial"/>
          <w:sz w:val="22"/>
          <w:szCs w:val="22"/>
        </w:rPr>
        <w:t xml:space="preserve">Intención dirigida: el Verbo emitido como acto consciente y no como reflejo reactivo.</w:t>
      </w:r>
    </w:p>
    <w:p>
      <w:pPr>
        <w:pStyle w:val="ListParagraph"/>
        <w:numPr>
          <w:ilvl w:val="0"/>
          <w:numId w:val="3"/>
        </w:numPr>
        <w:spacing w:after="200"/>
      </w:pPr>
      <w:r>
        <w:rPr>
          <w:rFonts w:ascii="Arial" w:cs="Arial" w:eastAsia="Arial" w:hAnsi="Arial"/>
          <w:sz w:val="22"/>
          <w:szCs w:val="22"/>
        </w:rPr>
        <w:t xml:space="preserve">Corresponsabilidad con lo producido: reconocimiento de que siempre se produce un efecto en el otro.</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Modelo original del autor — hipótesis de trabajo — </w:t>
      </w:r>
      <w:r>
        <w:rPr>
          <w:rFonts w:ascii="Arial" w:cs="Arial" w:eastAsia="Arial" w:hAnsi="Arial"/>
          <w:i/>
          <w:iCs/>
          <w:color w:val="555555"/>
          <w:sz w:val="20"/>
          <w:szCs w:val="20"/>
        </w:rPr>
        <w:t xml:space="preserve">Coherente internamente y con la evidencia disponible en los puntos 1-6. Requiere validación empírica en el contexto del programa Tu Voz para pasar de modelo teórico a protocolo demostrado. El programa mismo puede convertirse en evidencia viva de la tesis.</w:t>
      </w:r>
    </w:p>
    <w:p>
      <w:pPr>
        <w:pStyle w:val="Heading2"/>
        <w:spacing w:after="100" w:before="300"/>
      </w:pPr>
      <w:r>
        <w:rPr>
          <w:rFonts w:ascii="Arial" w:cs="Arial" w:eastAsia="Arial" w:hAnsi="Arial"/>
          <w:b/>
          <w:bCs/>
          <w:color w:val="2E5496"/>
          <w:sz w:val="26"/>
          <w:szCs w:val="26"/>
        </w:rPr>
        <w:t xml:space="preserve">8. El núcleo pedagógico — Tu Voz como Principio de Vida</w:t>
      </w:r>
    </w:p>
    <w:p>
      <w:pPr>
        <w:spacing w:after="160"/>
        <w:jc w:val="both"/>
      </w:pPr>
      <w:r>
        <w:rPr>
          <w:rFonts w:ascii="Arial" w:cs="Arial" w:eastAsia="Arial" w:hAnsi="Arial"/>
          <w:sz w:val="22"/>
          <w:szCs w:val="22"/>
        </w:rPr>
        <w:t xml:space="preserve">El objetivo del programa no es un humano obediente ni virtuoso en sentido moral. Es un humano que reconoce su poder como agente generativo y elige usarlo conscientemente. La responsabilidad no emerge de un código externo — emerge del reconocimiento de que ya se está produciendo efectos, quiera o no. Eso es más exigente que la moral y más honesto. Un niño de seis años que comprende que su voz tiene peso real en la biología del otro no necesita que le digan que es valioso — lo experimenta como evidencia.</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Objetivo pedagógico con fundamento biológico sólido en puntos 1-3 — </w:t>
      </w:r>
      <w:r>
        <w:rPr>
          <w:rFonts w:ascii="Arial" w:cs="Arial" w:eastAsia="Arial" w:hAnsi="Arial"/>
          <w:i/>
          <w:iCs/>
          <w:color w:val="555555"/>
          <w:sz w:val="20"/>
          <w:szCs w:val="20"/>
        </w:rPr>
        <w:t xml:space="preserve">Su alcance transformacional a largo plazo en niños y adultos es una hipótesis que Tu Voz como programa puede documentar longitudinalmente. La exclusión deliberada del marco moral es una decisión de diseño, no una omisión.</w:t>
      </w:r>
    </w:p>
    <w:p>
      <w:pPr>
        <w:pBdr>
          <w:bottom w:val="single" w:color="CCCCCC" w:sz="4" w:space="1"/>
        </w:pBdr>
        <w:spacing w:after="200" w:before="200"/>
      </w:pPr>
      <w:r>
        <w:t xml:space="preserve"/>
      </w:r>
    </w:p>
    <w:p>
      <w:pPr>
        <w:spacing w:after="100"/>
      </w:pPr>
      <w:r>
        <w:t xml:space="preserve"/>
      </w:r>
    </w:p>
    <w:p>
      <w:pPr>
        <w:spacing w:after="120"/>
      </w:pPr>
      <w:r>
        <w:rPr>
          <w:rFonts w:ascii="Arial" w:cs="Arial" w:eastAsia="Arial" w:hAnsi="Arial"/>
          <w:b/>
          <w:bCs/>
          <w:color w:val="C00000"/>
          <w:sz w:val="24"/>
          <w:szCs w:val="24"/>
        </w:rPr>
        <w:t xml:space="preserve">Nota aparte: vibración lumínica y biofotones</w:t>
      </w:r>
    </w:p>
    <w:p>
      <w:pPr>
        <w:spacing w:after="160"/>
        <w:jc w:val="both"/>
      </w:pPr>
      <w:r>
        <w:rPr>
          <w:rFonts w:ascii="Arial" w:cs="Arial" w:eastAsia="Arial" w:hAnsi="Arial"/>
          <w:sz w:val="22"/>
          <w:szCs w:val="22"/>
        </w:rPr>
        <w:t xml:space="preserve">Pregunta formulada en sesión: cuando se produce vibración física y vibración sonora simultáneamente, ¿se produce también vibración lumínica en un rango no registrable conscientemente?</w:t>
      </w:r>
    </w:p>
    <w:p>
      <w:pPr>
        <w:spacing w:after="160"/>
        <w:jc w:val="both"/>
      </w:pPr>
      <w:r>
        <w:rPr>
          <w:rFonts w:ascii="Arial" w:cs="Arial" w:eastAsia="Arial" w:hAnsi="Arial"/>
          <w:sz w:val="22"/>
          <w:szCs w:val="22"/>
        </w:rPr>
        <w:t xml:space="preserve">Existe un fenómeno físico documentado llamado emisión biofotónica: emisión ultradébil de luz por tejidos vivos, especialmente en actividad neuronal intensa. No es visible conscientemente y requiere instrumentos especializados para su detección.</w:t>
      </w:r>
    </w:p>
    <w:p>
      <w:pPr>
        <w:pBdr>
          <w:left w:val="single" w:color="AAAAAA" w:sz="12" w:space="10"/>
        </w:pBdr>
        <w:spacing w:after="200" w:before="60"/>
        <w:ind w:left="720"/>
      </w:pPr>
      <w:r>
        <w:rPr>
          <w:rFonts w:ascii="Arial" w:cs="Arial" w:eastAsia="Arial" w:hAnsi="Arial"/>
          <w:b/>
          <w:bCs/>
          <w:color w:val="555555"/>
          <w:sz w:val="20"/>
          <w:szCs w:val="20"/>
        </w:rPr>
        <w:t xml:space="preserve">Estado epistémico: </w:t>
      </w:r>
      <w:r>
        <w:rPr>
          <w:rFonts w:ascii="Arial" w:cs="Arial" w:eastAsia="Arial" w:hAnsi="Arial"/>
          <w:color w:val="555555"/>
          <w:sz w:val="20"/>
          <w:szCs w:val="20"/>
        </w:rPr>
        <w:t xml:space="preserve">Hipótesis especulativa — territorio abierto — </w:t>
      </w:r>
      <w:r>
        <w:rPr>
          <w:rFonts w:ascii="Arial" w:cs="Arial" w:eastAsia="Arial" w:hAnsi="Arial"/>
          <w:i/>
          <w:iCs/>
          <w:color w:val="555555"/>
          <w:sz w:val="20"/>
          <w:szCs w:val="20"/>
        </w:rPr>
        <w:t xml:space="preserve">La emisión biofotónica como fenómeno existe. La cadena causal directa entre emisión vocal y producción biofotónica NO está establecida. Es territorio de investigación abierto, no conclusión. Presentar con cautela explícita en la tesis.</w:t>
      </w:r>
      <w:r>
        <w:rPr>
          <w:rFonts w:ascii="Arial" w:cs="Arial" w:eastAsia="Arial" w:hAnsi="Arial"/>
          <w:b/>
          <w:bCs/>
          <w:color w:val="C00000"/>
          <w:sz w:val="20"/>
          <w:szCs w:val="20"/>
        </w:rPr>
        <w:t xml:space="preserve">  |  Buscar: </w:t>
      </w:r>
      <w:r>
        <w:rPr>
          <w:rFonts w:ascii="Arial" w:cs="Arial" w:eastAsia="Arial" w:hAnsi="Arial"/>
          <w:color w:val="C00000"/>
          <w:sz w:val="20"/>
          <w:szCs w:val="20"/>
        </w:rPr>
        <w:t xml:space="preserve">Fritz-Albert Popp, Biophotons and their regulatory role in cells — leer con ojo crítico sobre nivel de consenso científico actual.</w:t>
      </w:r>
    </w:p>
    <w:p>
      <w:pPr>
        <w:pBdr>
          <w:bottom w:val="single" w:color="CCCCCC" w:sz="4" w:space="1"/>
        </w:pBdr>
        <w:spacing w:after="200" w:before="200"/>
      </w:pPr>
      <w:r>
        <w:t xml:space="preserve"/>
      </w:r>
    </w:p>
    <w:p>
      <w:pPr>
        <w:spacing w:after="100"/>
      </w:pPr>
      <w:r>
        <w:t xml:space="preserve"/>
      </w:r>
    </w:p>
    <w:p>
      <w:pPr>
        <w:spacing w:after="120"/>
      </w:pPr>
      <w:r>
        <w:rPr>
          <w:rFonts w:ascii="Arial" w:cs="Arial" w:eastAsia="Arial" w:hAnsi="Arial"/>
          <w:b/>
          <w:bCs/>
          <w:color w:val="1F3864"/>
          <w:sz w:val="24"/>
          <w:szCs w:val="24"/>
        </w:rPr>
        <w:t xml:space="preserve">Nota de origen</w:t>
      </w:r>
    </w:p>
    <w:p>
      <w:pPr>
        <w:spacing w:after="160"/>
        <w:jc w:val="both"/>
      </w:pPr>
      <w:r>
        <w:rPr>
          <w:rFonts w:ascii="Arial" w:cs="Arial" w:eastAsia="Arial" w:hAnsi="Arial"/>
          <w:sz w:val="22"/>
          <w:szCs w:val="22"/>
        </w:rPr>
        <w:t xml:space="preserve">Este núcleo filosófico no fue redactado — fue descubierto en conversación. El conocimiento que viene de adentro no se construye: se extrae. Los grandes maestros no escribieron; fueron sus discípulos quienes registraron. Este documento es ese registro.</w:t>
      </w:r>
    </w:p>
    <w:p>
      <w:pPr>
        <w:spacing w:after="160"/>
        <w:jc w:val="both"/>
      </w:pPr>
      <w:r>
        <w:rPr>
          <w:rFonts w:ascii="Arial" w:cs="Arial" w:eastAsia="Arial" w:hAnsi="Arial"/>
          <w:sz w:val="22"/>
          <w:szCs w:val="22"/>
        </w:rPr>
        <w:t xml:space="preserve">Todo lo aquí consignado tiene un único origen: la experiencia acumulada de Guillermo Emigdio Miniño Álvarez — cincuenta años de trabajo con animales, treinta años de Shaolin, formación en medicina tradicional china, teología independiente, y una vida entera observando cómo la vibración transforma la materia viva.</w:t>
      </w:r>
    </w:p>
    <w:p>
      <w:pPr>
        <w:spacing w:after="100"/>
      </w:pPr>
      <w:r>
        <w:t xml:space="preserve"/>
      </w:r>
    </w:p>
    <w:p>
      <w:pPr>
        <w:jc w:val="center"/>
      </w:pPr>
      <w:r>
        <w:rPr>
          <w:rFonts w:ascii="Arial" w:cs="Arial" w:eastAsia="Arial" w:hAnsi="Arial"/>
          <w:i/>
          <w:iCs/>
          <w:color w:val="777777"/>
          <w:sz w:val="20"/>
          <w:szCs w:val="20"/>
        </w:rPr>
        <w:t xml:space="preserve">Kninord Animal Training — Villa Soñador, Bonao, 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2026-05-27T18:46:39.274Z</dcterms:created>
  <dcterms:modified xsi:type="dcterms:W3CDTF">2026-05-27T18:46:39.288Z</dcterms:modified>
</cp:coreProperties>
</file>

<file path=docProps/custom.xml><?xml version="1.0" encoding="utf-8"?>
<Properties xmlns="http://schemas.openxmlformats.org/officeDocument/2006/custom-properties" xmlns:vt="http://schemas.openxmlformats.org/officeDocument/2006/docPropsVTypes"/>
</file>