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888888"/>
          <w:sz w:val="20"/>
          <w:szCs w:val="20"/>
        </w:rPr>
        <w:t xml:space="preserve">EL VERBO COMO CO-REGULADOR PRIMARIO</w:t>
      </w:r>
    </w:p>
    <w:p>
      <w:pPr>
        <w:spacing w:after="40" w:before="0"/>
        <w:jc w:val="center"/>
      </w:pPr>
      <w:r>
        <w:rPr>
          <w:rFonts w:ascii="Arial" w:cs="Arial" w:eastAsia="Arial" w:hAnsi="Arial"/>
          <w:color w:val="AAAAAA"/>
          <w:sz w:val="18"/>
          <w:szCs w:val="18"/>
        </w:rPr>
        <w:t xml:space="preserve">Archivo de Semillas — Documento de Trabajo</w:t>
      </w:r>
    </w:p>
    <w:p>
      <w:pPr>
        <w:pBdr>
          <w:bottom w:val="single" w:color="2E5F8A" w:sz="6" w:space="1"/>
        </w:pBdr>
        <w:spacing w:after="160" w:before="160"/>
      </w:pPr>
    </w:p>
    <w:p>
      <w:pPr>
        <w:spacing w:after="80" w:before="240"/>
        <w:jc w:val="center"/>
      </w:pPr>
      <w:r>
        <w:rPr>
          <w:rFonts w:ascii="Arial" w:cs="Arial" w:eastAsia="Arial" w:hAnsi="Arial"/>
          <w:b/>
          <w:bCs/>
          <w:color w:val="1F3864"/>
          <w:sz w:val="36"/>
          <w:szCs w:val="36"/>
        </w:rPr>
        <w:t xml:space="preserve">SEMILLA #12</w:t>
      </w:r>
    </w:p>
    <w:p>
      <w:pPr>
        <w:spacing w:after="80" w:before="0"/>
        <w:jc w:val="center"/>
      </w:pPr>
      <w:r>
        <w:rPr>
          <w:rFonts w:ascii="Arial" w:cs="Arial" w:eastAsia="Arial" w:hAnsi="Arial"/>
          <w:b/>
          <w:bCs/>
          <w:color w:val="2E5F8A"/>
          <w:sz w:val="28"/>
          <w:szCs w:val="28"/>
        </w:rPr>
        <w:t xml:space="preserve">Las Fosas Nasales como Modulador Deliberado del SNA</w:t>
      </w:r>
    </w:p>
    <w:p>
      <w:pPr>
        <w:spacing w:after="40" w:before="0"/>
        <w:jc w:val="center"/>
      </w:pPr>
      <w:r>
        <w:rPr>
          <w:rFonts w:ascii="Arial" w:cs="Arial" w:eastAsia="Arial" w:hAnsi="Arial"/>
          <w:i/>
          <w:iCs/>
          <w:color w:val="666666"/>
          <w:sz w:val="22"/>
          <w:szCs w:val="22"/>
        </w:rPr>
        <w:t xml:space="preserve">Soporte científico al eje Verbo → Ritmo Basal → Tono Vagal</w:t>
      </w:r>
    </w:p>
    <w:p>
      <w:pPr>
        <w:spacing w:after="240" w:before="0"/>
        <w:jc w:val="center"/>
      </w:pPr>
      <w:r>
        <w:rPr>
          <w:rFonts w:ascii="Arial" w:cs="Arial" w:eastAsia="Arial" w:hAnsi="Arial"/>
          <w:color w:val="999999"/>
          <w:sz w:val="18"/>
          <w:szCs w:val="18"/>
        </w:rPr>
        <w:t xml:space="preserve">Guillermo Emigdio Miniño Álvarez · Villa Soñador, Bonao · 2025</w:t>
      </w:r>
    </w:p>
    <w:p>
      <w:pPr>
        <w:pBdr>
          <w:bottom w:val="single" w:color="2E5F8A" w:sz="6" w:space="1"/>
        </w:pBdr>
        <w:spacing w:after="160" w:before="160"/>
      </w:pPr>
    </w:p>
    <w:p>
      <w:pPr>
        <w:pStyle w:val="Heading1"/>
        <w:spacing w:after="160" w:before="320"/>
      </w:pPr>
      <w:r>
        <w:rPr>
          <w:rFonts w:ascii="Arial" w:cs="Arial" w:eastAsia="Arial" w:hAnsi="Arial"/>
          <w:b/>
          <w:bCs/>
          <w:color w:val="1F3864"/>
          <w:sz w:val="32"/>
          <w:szCs w:val="32"/>
        </w:rPr>
        <w:t xml:space="preserve">CAPA 1 — MECANISMO</w:t>
      </w:r>
    </w:p>
    <w:p>
      <w:pPr>
        <w:spacing w:after="120" w:before="120"/>
        <w:jc w:val="both"/>
      </w:pPr>
      <w:r>
        <w:rPr>
          <w:rFonts w:ascii="Arial" w:cs="Arial" w:eastAsia="Arial" w:hAnsi="Arial"/>
          <w:color w:val="000000"/>
          <w:sz w:val="22"/>
          <w:szCs w:val="22"/>
        </w:rPr>
        <w:t xml:space="preserve">El sistema nervioso autónomo (SNA) no opera como una caja negra impenetrable. Existe una vía de entrada deliberada, anatómicamente documentada, que permite al operador humano modular en tiempo real el equilibrio entre activación simpática y recuperación parasimpática: las fosas nasales.</w:t>
      </w:r>
    </w:p>
    <w:p>
      <w:pPr>
        <w:pStyle w:val="Heading2"/>
        <w:spacing w:after="160" w:before="320"/>
      </w:pPr>
      <w:r>
        <w:rPr>
          <w:rFonts w:ascii="Arial" w:cs="Arial" w:eastAsia="Arial" w:hAnsi="Arial"/>
          <w:b/>
          <w:bCs/>
          <w:color w:val="1F3864"/>
          <w:sz w:val="26"/>
          <w:szCs w:val="26"/>
        </w:rPr>
        <w:t xml:space="preserve">1.1 El Ciclo Nasal Ultradiano</w:t>
      </w:r>
    </w:p>
    <w:p>
      <w:pPr>
        <w:spacing w:after="120" w:before="120"/>
        <w:jc w:val="both"/>
      </w:pPr>
      <w:r>
        <w:rPr>
          <w:rFonts w:ascii="Arial" w:cs="Arial" w:eastAsia="Arial" w:hAnsi="Arial"/>
          <w:color w:val="000000"/>
          <w:sz w:val="22"/>
          <w:szCs w:val="22"/>
        </w:rPr>
        <w:t xml:space="preserve">Las fosas nasales no respiran simétricamente. Alternan dominancia cada 90 a 120 minutos mediante la congestión y descongestión de tejido eréctil en los cornetes nasales, controlado directamente por el SNA. Este fenómeno, descrito por primera vez por Richard Kayser en 1895, es universal en humanos sanos y constituye el substrato anatómico del ciclo ultradiano.</w:t>
      </w:r>
    </w:p>
    <w:p>
      <w:pPr>
        <w:spacing w:after="120" w:before="120"/>
        <w:jc w:val="both"/>
      </w:pPr>
      <w:r>
        <w:rPr>
          <w:rFonts w:ascii="Arial" w:cs="Arial" w:eastAsia="Arial" w:hAnsi="Arial"/>
          <w:color w:val="000000"/>
          <w:sz w:val="22"/>
          <w:szCs w:val="22"/>
        </w:rPr>
        <w:t xml:space="preserve">La asimetría no es accidental:</w:t>
      </w:r>
    </w:p>
    <w:p>
      <w:pPr>
        <w:pStyle w:val="ListParagraph"/>
        <w:numPr>
          <w:ilvl w:val="0"/>
          <w:numId w:val="2"/>
        </w:numPr>
        <w:spacing w:after="80" w:before="80"/>
      </w:pPr>
      <w:r>
        <w:rPr>
          <w:rFonts w:ascii="Arial" w:cs="Arial" w:eastAsia="Arial" w:hAnsi="Arial"/>
          <w:sz w:val="22"/>
          <w:szCs w:val="22"/>
        </w:rPr>
        <w:t xml:space="preserve">Fosa derecha dominante → activa el sistema simpático → mayor alerta, cortisol, temperatura corporal, predominio hemisférico izquierdo.</w:t>
      </w:r>
    </w:p>
    <w:p>
      <w:pPr>
        <w:pStyle w:val="ListParagraph"/>
        <w:numPr>
          <w:ilvl w:val="0"/>
          <w:numId w:val="2"/>
        </w:numPr>
        <w:spacing w:after="160" w:before="80"/>
      </w:pPr>
      <w:r>
        <w:rPr>
          <w:rFonts w:ascii="Arial" w:cs="Arial" w:eastAsia="Arial" w:hAnsi="Arial"/>
          <w:sz w:val="22"/>
          <w:szCs w:val="22"/>
        </w:rPr>
        <w:t xml:space="preserve">Fosa izquierda dominante → activa el parasimpático → calma, recuperación, consolidación, predominio hemisférico derecho.</w:t>
      </w:r>
    </w:p>
    <w:p>
      <w:pPr>
        <w:pStyle w:val="Heading2"/>
        <w:spacing w:after="160" w:before="320"/>
      </w:pPr>
      <w:r>
        <w:rPr>
          <w:rFonts w:ascii="Arial" w:cs="Arial" w:eastAsia="Arial" w:hAnsi="Arial"/>
          <w:b/>
          <w:bCs/>
          <w:color w:val="1F3864"/>
          <w:sz w:val="26"/>
          <w:szCs w:val="26"/>
        </w:rPr>
        <w:t xml:space="preserve">1.2 El Mecanismo Central: Acceso Directo al Hipotálamo</w:t>
      </w:r>
    </w:p>
    <w:p>
      <w:pPr>
        <w:spacing w:after="120" w:before="120"/>
        <w:jc w:val="both"/>
      </w:pPr>
      <w:r>
        <w:rPr>
          <w:rFonts w:ascii="Arial" w:cs="Arial" w:eastAsia="Arial" w:hAnsi="Arial"/>
          <w:color w:val="000000"/>
          <w:sz w:val="22"/>
          <w:szCs w:val="22"/>
        </w:rPr>
        <w:t xml:space="preserve">La fosa nasal es la única vía sensorial con acceso directo al hipotálamo sin pasar por el tálamo. El epitelio olfatorio proyecta señales al hipotálamo vía el nervio olfatorio (NC I), que modula el SNA de manera inmediata. La resistencia del flujo de aire en cada fosa envía señales diferenciadas que regulan el tono autonómico basal.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thick" w:color="1F3864" w:sz="12"/>
              <w:bottom w:val="single" w:color="1F3864" w:sz="3"/>
              <w:right w:val="nil"/>
            </w:tcBorders>
            <w:shd w:fill="D6E4F0" w:val="clear"/>
            <w:tcMar>
              <w:top w:type="dxa" w:w="160"/>
              <w:left w:type="dxa" w:w="240"/>
              <w:bottom w:type="dxa" w:w="160"/>
              <w:right w:type="dxa" w:w="240"/>
            </w:tcMar>
          </w:tcPr>
          <w:p>
            <w:pPr>
              <w:jc w:val="both"/>
            </w:pPr>
            <w:r>
              <w:rPr>
                <w:rFonts w:ascii="Arial" w:cs="Arial" w:eastAsia="Arial" w:hAnsi="Arial"/>
                <w:i/>
                <w:iCs/>
                <w:color w:val="1F3864"/>
                <w:sz w:val="22"/>
                <w:szCs w:val="22"/>
              </w:rPr>
              <w:t xml:space="preserve">Esta es la razón por la cual una modificación deliberada del patrón respiratorio nasal produce efectos fisiológicos medibles en segundos — no en minutos. No es sugestión ni efecto placebo: es anatomía funcional.</w:t>
            </w:r>
          </w:p>
        </w:tc>
      </w:tr>
    </w:tbl>
    <w:p>
      <w:pPr>
        <w:pStyle w:val="Heading2"/>
        <w:spacing w:after="160" w:before="320"/>
      </w:pPr>
      <w:r>
        <w:rPr>
          <w:rFonts w:ascii="Arial" w:cs="Arial" w:eastAsia="Arial" w:hAnsi="Arial"/>
          <w:b/>
          <w:bCs/>
          <w:color w:val="1F3864"/>
          <w:sz w:val="26"/>
          <w:szCs w:val="26"/>
        </w:rPr>
        <w:t xml:space="preserve">1.3 La Cadena Causal Documentada</w:t>
      </w:r>
    </w:p>
    <w:p>
      <w:pPr>
        <w:spacing w:after="120" w:before="120"/>
        <w:jc w:val="both"/>
      </w:pPr>
      <w:r>
        <w:rPr>
          <w:rFonts w:ascii="Arial" w:cs="Arial" w:eastAsia="Arial" w:hAnsi="Arial"/>
          <w:color w:val="000000"/>
          <w:sz w:val="22"/>
          <w:szCs w:val="22"/>
        </w:rPr>
        <w:t xml:space="preserve">Flujo de aire nasal → resistencia diferencial en cornetes → señal al epitelio olfatorio → proyección hipotalámica directa → modulación del SNA → variación del tono vagal → impacto en ritmo cardíaco, digestión, respuesta emocional, consolidación de memoria.</w:t>
      </w:r>
    </w:p>
    <w:p>
      <w:pPr>
        <w:pBdr>
          <w:bottom w:val="single" w:color="2E5F8A" w:sz="6" w:space="1"/>
        </w:pBdr>
        <w:spacing w:after="160" w:before="160"/>
      </w:pPr>
    </w:p>
    <w:p>
      <w:pPr>
        <w:pStyle w:val="Heading1"/>
        <w:spacing w:after="160" w:before="320"/>
      </w:pPr>
      <w:r>
        <w:rPr>
          <w:rFonts w:ascii="Arial" w:cs="Arial" w:eastAsia="Arial" w:hAnsi="Arial"/>
          <w:b/>
          <w:bCs/>
          <w:color w:val="1F3864"/>
          <w:sz w:val="32"/>
          <w:szCs w:val="32"/>
        </w:rPr>
        <w:t xml:space="preserve">LÍNEA CRONOLÓGICA DE INVESTIGACIÓN</w:t>
      </w:r>
    </w:p>
    <w:p>
      <w:pPr>
        <w:spacing w:after="120" w:before="120"/>
        <w:jc w:val="both"/>
      </w:pPr>
      <w:r>
        <w:rPr>
          <w:rFonts w:ascii="Arial" w:cs="Arial" w:eastAsia="Arial" w:hAnsi="Arial"/>
          <w:color w:val="000000"/>
          <w:sz w:val="22"/>
          <w:szCs w:val="22"/>
        </w:rPr>
        <w:t xml:space="preserve">La evidencia no es reciente ni marginal. Se acumula durante 130 años de investigación convergente: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460"/>
        <w:gridCol w:w="200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Año</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Investigador / Institución</w:t>
            </w:r>
          </w:p>
        </w:tc>
        <w:tc>
          <w:tcPr>
            <w:tcW w:type="dxa" w:w="3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Aporte principal</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Conexión con el Verbo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E5F8A"/>
                <w:sz w:val="20"/>
                <w:szCs w:val="20"/>
              </w:rPr>
              <w:t xml:space="preserve">1895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Richard Kayser</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Primera descripción documentada del ciclo nasal ultradiano. Base anatómica del fenómeno.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1A5C38"/>
                <w:sz w:val="20"/>
                <w:szCs w:val="20"/>
              </w:rPr>
              <w:t xml:space="preserve">Establece que la asimetría nasal es fisiológica, no patológica.</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b/>
                <w:bCs/>
                <w:color w:val="2E5F8A"/>
                <w:sz w:val="20"/>
                <w:szCs w:val="20"/>
              </w:rPr>
              <w:t xml:space="preserve">1920s–49</w:t>
            </w:r>
          </w:p>
        </w:tc>
        <w:tc>
          <w:tcPr>
            <w:tcW w:type="dxa" w:w="3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sz w:val="20"/>
                <w:szCs w:val="20"/>
              </w:rPr>
              <w:t xml:space="preserve">Walter Hess — Premio Nobel 1949</w:t>
            </w:r>
          </w:p>
        </w:tc>
        <w:tc>
          <w:tcPr>
            <w:tcW w:type="dxa" w:w="34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sz w:val="20"/>
                <w:szCs w:val="20"/>
              </w:rPr>
              <w:t xml:space="preserve">Mapeo del hipotálamo como centro integrador del SNA. Demuestra que señales periféricas modulan simpático/parasimpático centralmente.</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i/>
                <w:iCs/>
                <w:color w:val="1A5C38"/>
                <w:sz w:val="20"/>
                <w:szCs w:val="20"/>
              </w:rPr>
              <w:t xml:space="preserve">Ubica el centro neurológico al que la respiración nasal tiene acceso privilegiado.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E5F8A"/>
                <w:sz w:val="20"/>
                <w:szCs w:val="20"/>
              </w:rPr>
              <w:t xml:space="preserve">1983–90s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David Shannahoff-Khalsa — Instituto Salk, California</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Correlación experimental entre dominancia nasal y actividad hemisférica. Sincronía entre ciclo nasal y ritmo ultradiano del SNA. Publicaciones en Psychophysiology e Int. J. of Neuroscience.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1A5C38"/>
                <w:sz w:val="20"/>
                <w:szCs w:val="20"/>
              </w:rPr>
              <w:t xml:space="preserve">Cuantifica la lateralidad: fosa activa = hemisferio activo = modo autonómico activo.</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b/>
                <w:bCs/>
                <w:color w:val="2E5F8A"/>
                <w:sz w:val="20"/>
                <w:szCs w:val="20"/>
              </w:rPr>
              <w:t xml:space="preserve">1988</w:t>
            </w:r>
          </w:p>
        </w:tc>
        <w:tc>
          <w:tcPr>
            <w:tcW w:type="dxa" w:w="3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sz w:val="20"/>
                <w:szCs w:val="20"/>
              </w:rPr>
              <w:t xml:space="preserve">Werntz, Bickford, Shannahoff-Khalsa</w:t>
            </w:r>
          </w:p>
        </w:tc>
        <w:tc>
          <w:tcPr>
            <w:tcW w:type="dxa" w:w="34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sz w:val="20"/>
                <w:szCs w:val="20"/>
              </w:rPr>
              <w:t xml:space="preserve">EEG demuestra que la dominancia nasal predice la dominancia hemisférica en tiempo real.</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i/>
                <w:iCs/>
                <w:color w:val="1A5C38"/>
                <w:sz w:val="20"/>
                <w:szCs w:val="20"/>
              </w:rPr>
              <w:t xml:space="preserve">Primer puente instrumental entre respiración nasal y estado cognitivo-emocional.</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E5F8A"/>
                <w:sz w:val="20"/>
                <w:szCs w:val="20"/>
              </w:rPr>
              <w:t xml:space="preserve">1993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 Eccles — Cardiff University</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Documenta el mecanismo vascular del ciclo: tejido eréctil en cornetes controlado por el SNA. El simpático contrae, el parasimpático dilata.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1A5C38"/>
                <w:sz w:val="20"/>
                <w:szCs w:val="20"/>
              </w:rPr>
              <w:t xml:space="preserve">Cierra el círculo causal: el SNA controla la nariz y la nariz retroalimenta el SNA.</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b/>
                <w:bCs/>
                <w:color w:val="2E5F8A"/>
                <w:sz w:val="20"/>
                <w:szCs w:val="20"/>
              </w:rPr>
              <w:t xml:space="preserve">2016</w:t>
            </w:r>
          </w:p>
        </w:tc>
        <w:tc>
          <w:tcPr>
            <w:tcW w:type="dxa" w:w="3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sz w:val="20"/>
                <w:szCs w:val="20"/>
              </w:rPr>
              <w:t xml:space="preserve">Zelano et al. — Northwestern University (J. of Neuroscience)</w:t>
            </w:r>
          </w:p>
        </w:tc>
        <w:tc>
          <w:tcPr>
            <w:tcW w:type="dxa" w:w="34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sz w:val="20"/>
                <w:szCs w:val="20"/>
              </w:rPr>
              <w:t xml:space="preserve">La respiración nasal sincroniza directamente la actividad de la amígdala e hipocampo. Respirar por nariz vs. boca produce diferencias medibles en memoria y procesamiento emocional.</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i/>
                <w:iCs/>
                <w:color w:val="1A5C38"/>
                <w:sz w:val="20"/>
                <w:szCs w:val="20"/>
              </w:rPr>
              <w:t xml:space="preserve">Conecta el ciclo nasal con reconsolidación emocional — territorio central del Verbo.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E5F8A"/>
                <w:sz w:val="20"/>
                <w:szCs w:val="20"/>
              </w:rPr>
              <w:t xml:space="preserve">2018–23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Andrew Huberman — Stanford University</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Identifica el suspiro fisiológico (doble inhalación nasal) como el reset parasimpático más rápido documentado. Traduce la investigación básica a protocolos aplicables.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i/>
                <w:iCs/>
                <w:color w:val="1A5C38"/>
                <w:sz w:val="20"/>
                <w:szCs w:val="20"/>
              </w:rPr>
              <w:t xml:space="preserve">Demuestra que la modulación nasal del SNA es pedagógicamente transmisible.</w:t>
            </w:r>
          </w:p>
        </w:tc>
      </w:tr>
    </w:tbl>
    <w:p>
      <w:pPr>
        <w:spacing w:after="0" w:before="240"/>
      </w:pPr>
    </w:p>
    <w:p>
      <w:pPr>
        <w:pBdr>
          <w:bottom w:val="single" w:color="2E5F8A" w:sz="6" w:space="1"/>
        </w:pBdr>
        <w:spacing w:after="160" w:before="160"/>
      </w:pPr>
    </w:p>
    <w:p>
      <w:pPr>
        <w:pStyle w:val="Heading1"/>
        <w:spacing w:after="160" w:before="320"/>
      </w:pPr>
      <w:r>
        <w:rPr>
          <w:rFonts w:ascii="Arial" w:cs="Arial" w:eastAsia="Arial" w:hAnsi="Arial"/>
          <w:b/>
          <w:bCs/>
          <w:color w:val="1F3864"/>
          <w:sz w:val="32"/>
          <w:szCs w:val="32"/>
        </w:rPr>
        <w:t xml:space="preserve">CAPA 2 — SENTIDO</w:t>
      </w:r>
    </w:p>
    <w:p>
      <w:pPr>
        <w:pStyle w:val="Heading2"/>
        <w:spacing w:after="160" w:before="320"/>
      </w:pPr>
      <w:r>
        <w:rPr>
          <w:rFonts w:ascii="Arial" w:cs="Arial" w:eastAsia="Arial" w:hAnsi="Arial"/>
          <w:b/>
          <w:bCs/>
          <w:color w:val="1F3864"/>
          <w:sz w:val="26"/>
          <w:szCs w:val="26"/>
        </w:rPr>
        <w:t xml:space="preserve">2.1 Por qué esta semilla pertenece a la tesis</w:t>
      </w:r>
    </w:p>
    <w:p>
      <w:pPr>
        <w:spacing w:after="120" w:before="120"/>
        <w:jc w:val="both"/>
      </w:pPr>
      <w:r>
        <w:rPr>
          <w:rFonts w:ascii="Arial" w:cs="Arial" w:eastAsia="Arial" w:hAnsi="Arial"/>
          <w:color w:val="000000"/>
          <w:sz w:val="22"/>
          <w:szCs w:val="22"/>
        </w:rPr>
        <w:t xml:space="preserve">La tesis sostiene que el Verbo humano opera como co-regulador primario del sistema nervioso. Esta semilla aporta el mecanismo biológico previo al Verbo que hace posible esa función: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thick" w:color="1F3864" w:sz="12"/>
              <w:bottom w:val="single" w:color="1F3864" w:sz="3"/>
              <w:right w:val="nil"/>
            </w:tcBorders>
            <w:shd w:fill="D6E4F0" w:val="clear"/>
            <w:tcMar>
              <w:top w:type="dxa" w:w="160"/>
              <w:left w:type="dxa" w:w="240"/>
              <w:bottom w:type="dxa" w:w="160"/>
              <w:right w:type="dxa" w:w="240"/>
            </w:tcMar>
          </w:tcPr>
          <w:p>
            <w:pPr>
              <w:jc w:val="both"/>
            </w:pPr>
            <w:r>
              <w:rPr>
                <w:rFonts w:ascii="Arial" w:cs="Arial" w:eastAsia="Arial" w:hAnsi="Arial"/>
                <w:i/>
                <w:iCs/>
                <w:color w:val="1F3864"/>
                <w:sz w:val="22"/>
                <w:szCs w:val="22"/>
              </w:rPr>
              <w:t xml:space="preserve">El Verbo no actúa sobre un sistema en vacío. Actúa sobre un sistema cuyo estado basal es modificable deliberadamente, y la respiración nasal es la palanca más directa, más rápida y más documentada para hacerlo.</w:t>
            </w:r>
          </w:p>
        </w:tc>
      </w:tr>
    </w:tbl>
    <w:p>
      <w:pPr>
        <w:spacing w:after="120" w:before="120"/>
        <w:jc w:val="both"/>
      </w:pPr>
      <w:r>
        <w:rPr>
          <w:rFonts w:ascii="Arial" w:cs="Arial" w:eastAsia="Arial" w:hAnsi="Arial"/>
          <w:color w:val="000000"/>
          <w:sz w:val="22"/>
          <w:szCs w:val="22"/>
        </w:rPr>
        <w:t xml:space="preserve">El Verbo entra en la cadena causal en dos puntos críticos:</w:t>
      </w:r>
    </w:p>
    <w:p>
      <w:pPr>
        <w:pStyle w:val="ListParagraph"/>
        <w:numPr>
          <w:ilvl w:val="0"/>
          <w:numId w:val="3"/>
        </w:numPr>
        <w:spacing w:after="80" w:before="80"/>
      </w:pPr>
      <w:r>
        <w:rPr>
          <w:rFonts w:ascii="Arial" w:cs="Arial" w:eastAsia="Arial" w:hAnsi="Arial"/>
          <w:sz w:val="22"/>
          <w:szCs w:val="22"/>
        </w:rPr>
        <w:t xml:space="preserve">ANTES del Verbo: la intención previa a hablar ya modifica el patrón respiratorio nasal, preparando el SNA para la emisión.</w:t>
      </w:r>
    </w:p>
    <w:p>
      <w:pPr>
        <w:pStyle w:val="ListParagraph"/>
        <w:numPr>
          <w:ilvl w:val="0"/>
          <w:numId w:val="3"/>
        </w:numPr>
        <w:spacing w:after="160" w:before="80"/>
      </w:pPr>
      <w:r>
        <w:rPr>
          <w:rFonts w:ascii="Arial" w:cs="Arial" w:eastAsia="Arial" w:hAnsi="Arial"/>
          <w:sz w:val="22"/>
          <w:szCs w:val="22"/>
        </w:rPr>
        <w:t xml:space="preserve">DURANTE el Verbo: la producción vocal regula el ritmo y profundidad de la respiración nasal, modulando el tono vagal en tiempo real.</w:t>
      </w:r>
    </w:p>
    <w:p>
      <w:pPr>
        <w:pStyle w:val="Heading2"/>
        <w:spacing w:after="160" w:before="320"/>
      </w:pPr>
      <w:r>
        <w:rPr>
          <w:rFonts w:ascii="Arial" w:cs="Arial" w:eastAsia="Arial" w:hAnsi="Arial"/>
          <w:b/>
          <w:bCs/>
          <w:color w:val="1F3864"/>
          <w:sz w:val="26"/>
          <w:szCs w:val="26"/>
        </w:rPr>
        <w:t xml:space="preserve">2.2 La convergencia empírica milenaria</w:t>
      </w:r>
    </w:p>
    <w:p>
      <w:pPr>
        <w:spacing w:after="120" w:before="120"/>
        <w:jc w:val="both"/>
      </w:pPr>
      <w:r>
        <w:rPr>
          <w:rFonts w:ascii="Arial" w:cs="Arial" w:eastAsia="Arial" w:hAnsi="Arial"/>
          <w:color w:val="000000"/>
          <w:sz w:val="22"/>
          <w:szCs w:val="22"/>
        </w:rPr>
        <w:t xml:space="preserve">El Pranayama védico y la respiración del Qi Gong utilizan el control nasal diferencial desde hace más de 2,500 años. No como ritual: como tecnología fisiológica. La ciencia occidental llegó a la misma conclusión en 1895 con Kayser y la ha confirmado progresivamente hasta Huberman.</w:t>
      </w:r>
    </w:p>
    <w:p>
      <w:pPr>
        <w:spacing w:after="120" w:before="120"/>
        <w:jc w:val="both"/>
      </w:pPr>
      <w:r>
        <w:rPr>
          <w:rFonts w:ascii="Arial" w:cs="Arial" w:eastAsia="Arial" w:hAnsi="Arial"/>
          <w:color w:val="000000"/>
          <w:sz w:val="22"/>
          <w:szCs w:val="22"/>
        </w:rPr>
        <w:t xml:space="preserve">Esta convergencia entre 50 años de observación de campo del autor y 130 años de evidencia científica no es coincidencia. Es la validación de que el sistema nervioso humano tiene una arquitectura que la tradición contemplativa descubrió empíricamente antes de que existieran los instrumentos para medirla.</w:t>
      </w:r>
    </w:p>
    <w:p>
      <w:pPr>
        <w:pStyle w:val="Heading2"/>
        <w:spacing w:after="160" w:before="320"/>
      </w:pPr>
      <w:r>
        <w:rPr>
          <w:rFonts w:ascii="Arial" w:cs="Arial" w:eastAsia="Arial" w:hAnsi="Arial"/>
          <w:b/>
          <w:bCs/>
          <w:color w:val="1F3864"/>
          <w:sz w:val="26"/>
          <w:szCs w:val="26"/>
        </w:rPr>
        <w:t xml:space="preserve">2.3 Ubicación en el grafo causal de la 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3"/>
              <w:left w:val="thick" w:color="1A5C38" w:sz="12"/>
              <w:bottom w:val="single" w:color="1A5C38" w:sz="3"/>
              <w:right w:val="nil"/>
            </w:tcBorders>
            <w:shd w:fill="D6EAD9" w:val="clear"/>
            <w:tcMar>
              <w:top w:type="dxa" w:w="160"/>
              <w:left w:type="dxa" w:w="240"/>
              <w:bottom w:type="dxa" w:w="160"/>
              <w:right w:type="dxa" w:w="240"/>
            </w:tcMar>
          </w:tcPr>
          <w:p>
            <w:pPr>
              <w:jc w:val="both"/>
            </w:pPr>
            <w:r>
              <w:rPr>
                <w:rFonts w:ascii="Arial" w:cs="Arial" w:eastAsia="Arial" w:hAnsi="Arial"/>
                <w:i/>
                <w:iCs/>
                <w:color w:val="1A5C38"/>
                <w:sz w:val="22"/>
                <w:szCs w:val="22"/>
              </w:rPr>
              <w:t xml:space="preserve">Respiración Nasal Deliberada → Modulación SNA → Ritmo Basal → Tono Vagal → [VERBO HUMANO] → Reconsolidación → Reconfiguración Epigenética</w:t>
            </w:r>
          </w:p>
        </w:tc>
      </w:tr>
    </w:tbl>
    <w:p>
      <w:pPr>
        <w:spacing w:after="120" w:before="120"/>
        <w:jc w:val="both"/>
      </w:pPr>
      <w:r>
        <w:rPr>
          <w:rFonts w:ascii="Arial" w:cs="Arial" w:eastAsia="Arial" w:hAnsi="Arial"/>
          <w:color w:val="000000"/>
          <w:sz w:val="22"/>
          <w:szCs w:val="22"/>
        </w:rPr>
        <w:t xml:space="preserve">La semilla #12 opera como el eslabón previo al Verbo en el grafo. No lo reemplaza ni lo desplaza: lo fundamenta. Demuestra que el operador puede preparar deliberadamente el terreno biológico antes de que el Verbo actúe.</w:t>
      </w:r>
    </w:p>
    <w:p>
      <w:pPr>
        <w:pBdr>
          <w:bottom w:val="single" w:color="2E5F8A" w:sz="6" w:space="1"/>
        </w:pBdr>
        <w:spacing w:after="160" w:before="160"/>
      </w:pPr>
    </w:p>
    <w:p>
      <w:pPr>
        <w:pStyle w:val="Heading1"/>
        <w:spacing w:after="160" w:before="320"/>
      </w:pPr>
      <w:r>
        <w:rPr>
          <w:rFonts w:ascii="Arial" w:cs="Arial" w:eastAsia="Arial" w:hAnsi="Arial"/>
          <w:b/>
          <w:bCs/>
          <w:color w:val="1F3864"/>
          <w:sz w:val="32"/>
          <w:szCs w:val="32"/>
        </w:rPr>
        <w:t xml:space="preserve">CAPA 3 — PRÁCTICA</w:t>
      </w:r>
    </w:p>
    <w:p>
      <w:pPr>
        <w:pStyle w:val="Heading2"/>
        <w:spacing w:after="160" w:before="320"/>
      </w:pPr>
      <w:r>
        <w:rPr>
          <w:rFonts w:ascii="Arial" w:cs="Arial" w:eastAsia="Arial" w:hAnsi="Arial"/>
          <w:b/>
          <w:bCs/>
          <w:color w:val="1F3864"/>
          <w:sz w:val="26"/>
          <w:szCs w:val="26"/>
        </w:rPr>
        <w:t xml:space="preserve">3.1 Protocolo de aplicación documentada</w:t>
      </w:r>
    </w:p>
    <w:p>
      <w:pPr>
        <w:spacing w:after="120" w:before="120"/>
        <w:jc w:val="both"/>
      </w:pPr>
      <w:r>
        <w:rPr>
          <w:rFonts w:ascii="Arial" w:cs="Arial" w:eastAsia="Arial" w:hAnsi="Arial"/>
          <w:color w:val="000000"/>
          <w:sz w:val="22"/>
          <w:szCs w:val="22"/>
        </w:rPr>
        <w:t xml:space="preserve">La modulación nasal deliberada del SNA no requiere equipamiento. Requiere conocimiento del mecanismo y práctica sostenida. Los protocolos con respaldo empírico incluyen:</w:t>
      </w:r>
    </w:p>
    <w:p>
      <w:pPr>
        <w:pStyle w:val="ListParagraph"/>
        <w:numPr>
          <w:ilvl w:val="0"/>
          <w:numId w:val="2"/>
        </w:numPr>
        <w:spacing w:after="80" w:before="80"/>
      </w:pPr>
      <w:r>
        <w:rPr>
          <w:rFonts w:ascii="Arial" w:cs="Arial" w:eastAsia="Arial" w:hAnsi="Arial"/>
          <w:sz w:val="22"/>
          <w:szCs w:val="22"/>
        </w:rPr>
        <w:t xml:space="preserve">Respiración alterna (Nadi Shodhana): alternancia controlada de fosa dominante. Documentado por Shannahoff-Khalsa como herramienta de regulación autonómica.</w:t>
      </w:r>
    </w:p>
    <w:p>
      <w:pPr>
        <w:pStyle w:val="ListParagraph"/>
        <w:numPr>
          <w:ilvl w:val="0"/>
          <w:numId w:val="2"/>
        </w:numPr>
        <w:spacing w:after="80" w:before="80"/>
      </w:pPr>
      <w:r>
        <w:rPr>
          <w:rFonts w:ascii="Arial" w:cs="Arial" w:eastAsia="Arial" w:hAnsi="Arial"/>
          <w:sz w:val="22"/>
          <w:szCs w:val="22"/>
        </w:rPr>
        <w:t xml:space="preserve">Suspiro fisiológico doble: doble inhalación nasal seguida de exhalación lenta. Documentado por Huberman como el reset parasimpático más rápido conocido.</w:t>
      </w:r>
    </w:p>
    <w:p>
      <w:pPr>
        <w:pStyle w:val="ListParagraph"/>
        <w:numPr>
          <w:ilvl w:val="0"/>
          <w:numId w:val="2"/>
        </w:numPr>
        <w:spacing w:after="160" w:before="80"/>
      </w:pPr>
      <w:r>
        <w:rPr>
          <w:rFonts w:ascii="Arial" w:cs="Arial" w:eastAsia="Arial" w:hAnsi="Arial"/>
          <w:sz w:val="22"/>
          <w:szCs w:val="22"/>
        </w:rPr>
        <w:t xml:space="preserve">Respiración nasal exclusiva durante la práctica del Verbo: mantiene el acceso parasimpático durante la emisión vocal, favorece el tono vagal y la presencia del operador.</w:t>
      </w:r>
    </w:p>
    <w:p>
      <w:pPr>
        <w:pStyle w:val="Heading2"/>
        <w:spacing w:after="160" w:before="320"/>
      </w:pPr>
      <w:r>
        <w:rPr>
          <w:rFonts w:ascii="Arial" w:cs="Arial" w:eastAsia="Arial" w:hAnsi="Arial"/>
          <w:b/>
          <w:bCs/>
          <w:color w:val="1F3864"/>
          <w:sz w:val="26"/>
          <w:szCs w:val="26"/>
        </w:rPr>
        <w:t xml:space="preserve">3.2 Observación testimonial del autor</w:t>
      </w:r>
    </w:p>
    <w:p>
      <w:pPr>
        <w:spacing w:after="120" w:before="120"/>
        <w:jc w:val="both"/>
      </w:pPr>
      <w:r>
        <w:rPr>
          <w:rFonts w:ascii="Arial" w:cs="Arial" w:eastAsia="Arial" w:hAnsi="Arial"/>
          <w:color w:val="000000"/>
          <w:sz w:val="22"/>
          <w:szCs w:val="22"/>
        </w:rPr>
        <w:t xml:space="preserve">En más de 30 años de práctica de Qi Gong y Kung Fu Shaolin, el autor ha verificado experimentalmente lo que la ciencia describe: la modificación deliberada del patrón respiratorio nasal antecede y condiciona la calidad del estado interno disponible para la acción. En el trabajo con animales, este estado interno es detectado por el animal antes de que el operador emita cualquier señal verbal o corporal explícita.</w:t>
      </w:r>
    </w:p>
    <w:p>
      <w:pPr>
        <w:spacing w:after="120" w:before="120"/>
        <w:jc w:val="both"/>
      </w:pPr>
      <w:r>
        <w:rPr>
          <w:rFonts w:ascii="Arial" w:cs="Arial" w:eastAsia="Arial" w:hAnsi="Arial"/>
          <w:color w:val="000000"/>
          <w:sz w:val="22"/>
          <w:szCs w:val="22"/>
        </w:rPr>
        <w:t xml:space="preserve">Esto sugiere que el ciclo nasal no solo modula el SNA del operador: modula la señal que el operador emite al entorno — lo que en la tesis se denomina el campo de presencia del Verbo.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3"/>
              <w:left w:val="thick" w:color="444444" w:sz="12"/>
              <w:bottom w:val="single" w:color="444444" w:sz="3"/>
              <w:right w:val="nil"/>
            </w:tcBorders>
            <w:shd w:fill="F4F6F8" w:val="clear"/>
            <w:tcMar>
              <w:top w:type="dxa" w:w="160"/>
              <w:left w:type="dxa" w:w="240"/>
              <w:bottom w:type="dxa" w:w="160"/>
              <w:right w:type="dxa" w:w="240"/>
            </w:tcMar>
          </w:tcPr>
          <w:p>
            <w:pPr>
              <w:jc w:val="both"/>
            </w:pPr>
            <w:r>
              <w:rPr>
                <w:rFonts w:ascii="Arial" w:cs="Arial" w:eastAsia="Arial" w:hAnsi="Arial"/>
                <w:i/>
                <w:iCs/>
                <w:color w:val="444444"/>
                <w:sz w:val="22"/>
                <w:szCs w:val="22"/>
              </w:rPr>
              <w:t xml:space="preserve">La experiencia empírica de campo precede a la publicación científica. Pero la publicación científica le da al campo un lenguaje transferible, enseñable, verificable por terceros. Eso es lo que esta semilla aporta a la tesis.</w:t>
            </w:r>
          </w:p>
        </w:tc>
      </w:tr>
    </w:tbl>
    <w:p>
      <w:pPr>
        <w:pBdr>
          <w:bottom w:val="single" w:color="2E5F8A" w:sz="6" w:space="1"/>
        </w:pBdr>
        <w:spacing w:after="160" w:before="160"/>
      </w:pPr>
    </w:p>
    <w:p>
      <w:pPr>
        <w:pStyle w:val="Heading1"/>
        <w:spacing w:after="160" w:before="320"/>
      </w:pPr>
      <w:r>
        <w:rPr>
          <w:rFonts w:ascii="Arial" w:cs="Arial" w:eastAsia="Arial" w:hAnsi="Arial"/>
          <w:b/>
          <w:bCs/>
          <w:color w:val="1F3864"/>
          <w:sz w:val="32"/>
          <w:szCs w:val="32"/>
        </w:rPr>
        <w:t xml:space="preserve">REFERENCIAS CIENTÍFICAS CLAVE</w:t>
      </w:r>
    </w:p>
    <w:p>
      <w:pPr>
        <w:pStyle w:val="ListParagraph"/>
        <w:numPr>
          <w:ilvl w:val="0"/>
          <w:numId w:val="3"/>
        </w:numPr>
        <w:spacing w:after="80" w:before="80"/>
      </w:pPr>
      <w:r>
        <w:rPr>
          <w:rFonts w:ascii="Arial" w:cs="Arial" w:eastAsia="Arial" w:hAnsi="Arial"/>
          <w:sz w:val="20"/>
          <w:szCs w:val="20"/>
        </w:rPr>
        <w:t xml:space="preserve">Kayser, R. (1895). Die exacte Messung der Luftdurchgängigkeit der Nase. Archiv für Laryngologie.</w:t>
      </w:r>
    </w:p>
    <w:p>
      <w:pPr>
        <w:pStyle w:val="ListParagraph"/>
        <w:numPr>
          <w:ilvl w:val="0"/>
          <w:numId w:val="3"/>
        </w:numPr>
        <w:spacing w:after="80" w:before="80"/>
      </w:pPr>
      <w:r>
        <w:rPr>
          <w:rFonts w:ascii="Arial" w:cs="Arial" w:eastAsia="Arial" w:hAnsi="Arial"/>
          <w:sz w:val="20"/>
          <w:szCs w:val="20"/>
        </w:rPr>
        <w:t xml:space="preserve">Shannahoff-Khalsa, D.S. (1991). Lateralized rhythms of the central and autonomic nervous systems. International Journal of Neuroscience.</w:t>
      </w:r>
    </w:p>
    <w:p>
      <w:pPr>
        <w:pStyle w:val="ListParagraph"/>
        <w:numPr>
          <w:ilvl w:val="0"/>
          <w:numId w:val="3"/>
        </w:numPr>
        <w:spacing w:after="80" w:before="80"/>
      </w:pPr>
      <w:r>
        <w:rPr>
          <w:rFonts w:ascii="Arial" w:cs="Arial" w:eastAsia="Arial" w:hAnsi="Arial"/>
          <w:sz w:val="20"/>
          <w:szCs w:val="20"/>
        </w:rPr>
        <w:t xml:space="preserve">Werntz, D., Bickford, R., &amp; Shannahoff-Khalsa, D. (1988). Selective hemispheric stimulation by unilateral forced nostril breathing. Human Neurobiology.</w:t>
      </w:r>
    </w:p>
    <w:p>
      <w:pPr>
        <w:pStyle w:val="ListParagraph"/>
        <w:numPr>
          <w:ilvl w:val="0"/>
          <w:numId w:val="3"/>
        </w:numPr>
        <w:spacing w:after="80" w:before="80"/>
      </w:pPr>
      <w:r>
        <w:rPr>
          <w:rFonts w:ascii="Arial" w:cs="Arial" w:eastAsia="Arial" w:hAnsi="Arial"/>
          <w:sz w:val="20"/>
          <w:szCs w:val="20"/>
        </w:rPr>
        <w:t xml:space="preserve">Eccles, R. (1993). The nasal cycle. The nose: upper airway physiology and the atmospheric environment.</w:t>
      </w:r>
    </w:p>
    <w:p>
      <w:pPr>
        <w:pStyle w:val="ListParagraph"/>
        <w:numPr>
          <w:ilvl w:val="0"/>
          <w:numId w:val="3"/>
        </w:numPr>
        <w:spacing w:after="80" w:before="80"/>
      </w:pPr>
      <w:r>
        <w:rPr>
          <w:rFonts w:ascii="Arial" w:cs="Arial" w:eastAsia="Arial" w:hAnsi="Arial"/>
          <w:sz w:val="20"/>
          <w:szCs w:val="20"/>
        </w:rPr>
        <w:t xml:space="preserve">Zelano, C. et al. (2016). Nasal respiration entrains human limbic oscillations and modulates cognitive function. Journal of Neuroscience.</w:t>
      </w:r>
    </w:p>
    <w:p>
      <w:pPr>
        <w:pStyle w:val="ListParagraph"/>
        <w:numPr>
          <w:ilvl w:val="0"/>
          <w:numId w:val="3"/>
        </w:numPr>
        <w:spacing w:after="160" w:before="80"/>
      </w:pPr>
      <w:r>
        <w:rPr>
          <w:rFonts w:ascii="Arial" w:cs="Arial" w:eastAsia="Arial" w:hAnsi="Arial"/>
          <w:sz w:val="20"/>
          <w:szCs w:val="20"/>
        </w:rPr>
        <w:t xml:space="preserve">Huberman, A. (2022–2023). Huberman Lab Podcast, Stanford University. Episodes on breathing, autonomic nervous system regulation.</w:t>
      </w:r>
    </w:p>
    <w:p>
      <w:pPr>
        <w:pBdr>
          <w:bottom w:val="single" w:color="2E5F8A" w:sz="6" w:space="1"/>
        </w:pBdr>
        <w:spacing w:after="160" w:before="160"/>
      </w:pPr>
    </w:p>
    <w:p>
      <w:pPr>
        <w:spacing w:after="40" w:before="160"/>
        <w:jc w:val="center"/>
      </w:pPr>
      <w:r>
        <w:rPr>
          <w:rFonts w:ascii="Arial" w:cs="Arial" w:eastAsia="Arial" w:hAnsi="Arial"/>
          <w:i/>
          <w:iCs/>
          <w:color w:val="888888"/>
          <w:sz w:val="18"/>
          <w:szCs w:val="18"/>
        </w:rPr>
        <w:t xml:space="preserve">Semilla #12 · El Verbo como Co-Regulador Primario</w:t>
      </w:r>
    </w:p>
    <w:p>
      <w:pPr>
        <w:spacing w:after="0" w:before="0"/>
        <w:jc w:val="center"/>
      </w:pPr>
      <w:r>
        <w:rPr>
          <w:rFonts w:ascii="Arial" w:cs="Arial" w:eastAsia="Arial" w:hAnsi="Arial"/>
          <w:color w:val="AAAAAA"/>
          <w:sz w:val="16"/>
          <w:szCs w:val="16"/>
        </w:rPr>
        <w:t xml:space="preserve">Guillermo Emigdio Miniño Álvarez · Villa Soñador, Bonao, República Dominicana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5C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2026-06-09T14:34:24.668Z</dcterms:created>
  <dcterms:modified xsi:type="dcterms:W3CDTF">2026-06-09T14:34:24.668Z</dcterms:modified>
</cp:coreProperties>
</file>

<file path=docProps/custom.xml><?xml version="1.0" encoding="utf-8"?>
<Properties xmlns="http://schemas.openxmlformats.org/officeDocument/2006/custom-properties" xmlns:vt="http://schemas.openxmlformats.org/officeDocument/2006/docPropsVTypes"/>
</file>