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Semilla Teórica: La Anandamida como Interfaz Bioquímica del Verbo</w:t>
      </w:r>
    </w:p>
    <w:p>
      <w:pPr>
        <w:spacing w:after="120"/>
      </w:pPr>
      <w:r>
        <w:rPr>
          <w:i/>
          <w:iCs/>
          <w:color w:val="666666"/>
          <w:sz w:val="22"/>
          <w:szCs w:val="22"/>
        </w:rPr>
        <w:t xml:space="preserve">El Verbo como Co-regulador Primario — Repositorio GMinino/El-Verbo</w:t>
      </w:r>
    </w:p>
    <w:p>
      <w:pPr>
        <w:spacing w:after="400"/>
      </w:pPr>
      <w:r>
        <w:rPr>
          <w:color w:val="888888"/>
          <w:sz w:val="20"/>
          <w:szCs w:val="20"/>
        </w:rPr>
        <w:t xml:space="preserve">Fecha de sesión: 28 de mayo de 2026  |  Guillermo Emigdio Miniño Álvarez</w:t>
      </w:r>
    </w:p>
    <w:p>
      <w:pPr>
        <w:pStyle w:val="Heading2"/>
      </w:pPr>
      <w:r>
        <w:t xml:space="preserve">1. El problema que abrió la semilla</w:t>
      </w:r>
    </w:p>
    <w:p>
      <w:pPr>
        <w:spacing w:after="200"/>
      </w:pPr>
      <w:r>
        <w:t xml:space="preserve">Durante la sesión se identificó una tensión estructural en la tesis: si la anandamida es condición previa al Verbo, entonces el Verbo no es el iniciador del proceso regulatorio, sino un operador que actúa sobre un sustrato ya preparado. Esto lo degradaría de co-regulador primario a co-regulador condicional, diferencia ontológica significativa.</w:t>
      </w:r>
    </w:p>
    <w:p>
      <w:pPr>
        <w:pStyle w:val="Heading2"/>
      </w:pPr>
      <w:r>
        <w:t xml:space="preserve">2. Regresión hacia atrás: rastreando el origen</w:t>
      </w:r>
    </w:p>
    <w:p>
      <w:pPr>
        <w:spacing w:after="160"/>
      </w:pPr>
      <w:r>
        <w:t xml:space="preserve">Las tres vías principales de producción de anandamida son: ejercicio sostenido, vinculación social segura, y estados contemplativos profundos. Al preguntar qué produce cada una, emerge un antecedente común:</w:t>
      </w:r>
    </w:p>
    <w:p>
      <w:pPr>
        <w:spacing w:after="120"/>
        <w:ind w:left="480"/>
      </w:pPr>
      <w:r>
        <w:rPr>
          <w:b/>
          <w:bCs/>
        </w:rPr>
        <w:t xml:space="preserve">Ejercicio sostenido:</w:t>
      </w:r>
      <w:r>
        <w:t xml:space="preserve"> requiere una decisión de moverse y mantenerlo. Esa decisión tiene origen en una narrativa interna — algo que el organismo se dice a sí mismo para sostener el esfuerzo más allá del umbral del dolor.</w:t>
      </w:r>
    </w:p>
    <w:p>
      <w:pPr>
        <w:spacing w:after="120"/>
        <w:ind w:left="480"/>
      </w:pPr>
      <w:r>
        <w:rPr>
          <w:b/>
          <w:bCs/>
        </w:rPr>
        <w:t xml:space="preserve">Vinculación social segura:</w:t>
      </w:r>
      <w:r>
        <w:t xml:space="preserve"> requiere una evaluación del entorno como no amenazante. Esa evaluación no es solo sensorial — es interpretativa. El sistema nervioso detecta coherencia entre lo esperado y lo percibido, coherencia construida con lenguaje interno.</w:t>
      </w:r>
    </w:p>
    <w:p>
      <w:pPr>
        <w:spacing w:after="200"/>
        <w:ind w:left="480"/>
      </w:pPr>
      <w:r>
        <w:rPr>
          <w:b/>
          <w:bCs/>
        </w:rPr>
        <w:t xml:space="preserve">Estados contemplativos profundos:</w:t>
      </w:r>
      <w:r>
        <w:t xml:space="preserve"> requieren una práctica sostenida que se ancla en una palabra, concepto, nombre o mantra. Algo verbal o proto-verbal.</w:t>
      </w:r>
    </w:p>
    <w:p>
      <w:pPr>
        <w:spacing w:after="160"/>
      </w:pPr>
      <w:r>
        <w:t xml:space="preserve">Las tres vías comparten un antecedente: una señal interna de orientación con estructura verbal.</w:t>
      </w:r>
    </w:p>
    <w:p>
      <w:pPr>
        <w:spacing w:after="160"/>
      </w:pPr>
      <w:r>
        <w:t xml:space="preserve">Un nivel más atrás: ¿qué produce esa señal de orientación? Un estado de suficiente regulación basal que permita al organismo dirigirse hacia algo en lugar de huir. Sin ese piso mínimo somático, no hay intención sostenible. Ese piso lo gestiona el cuerpo antes que la mente — el nervio vago ventral, condicionado en parte por el estado digestivo (hipótesis del estómago/vagus ya establecida en la tesis).</w:t>
      </w:r>
    </w:p>
    <w:p>
      <w:pPr>
        <w:spacing w:after="200"/>
      </w:pPr>
      <w:r>
        <w:t xml:space="preserve">Un nivel más atrás todavía: ¿qué regula el tono vagal basal? El ritmo. La respiración. El latido. Procesos que ocurren antes de cualquier palabra, antes de cualquier intención consciente. Aquí aparece el Verbo primordial: la frecuencia que sostiene el ritmo antes de que el organismo sepa que existe.</w:t>
      </w:r>
    </w:p>
    <w:p>
      <w:pPr>
        <w:pStyle w:val="Heading2"/>
      </w:pPr>
      <w:r>
        <w:t xml:space="preserve">3. El grafo hacia adelante</w:t>
      </w:r>
    </w:p>
    <w:p>
      <w:pPr>
        <w:spacing w:after="200"/>
      </w:pPr>
      <w:r>
        <w:t xml:space="preserve">La regresión completa produce el siguiente grafo causal, leído de origen a efecto:</w:t>
      </w:r>
    </w:p>
    <w:p>
      <w:pPr>
        <w:pBdr>
          <w:left w:val="single" w:color="1F3864" w:sz="12" w:space="12"/>
        </w:pBdr>
        <w:spacing w:after="80" w:before="80"/>
        <w:ind w:left="360"/>
      </w:pPr>
      <w:r>
        <w:rPr>
          <w:b/>
          <w:bCs/>
          <w:color w:val="1F3864"/>
          <w:sz w:val="24"/>
          <w:szCs w:val="24"/>
        </w:rPr>
        <w:t xml:space="preserve">VERBO PRIMORDIAL</w:t>
      </w:r>
      <w:r>
        <w:rPr>
          <w:color w:val="555555"/>
          <w:sz w:val="22"/>
          <w:szCs w:val="22"/>
        </w:rPr>
        <w:t xml:space="preserve">   Frecuencia fundante — Juan 1:1 · Luz → Sonido → Materia</w:t>
      </w:r>
    </w:p>
    <w:p>
      <w:pPr>
        <w:spacing w:after="40" w:before="40"/>
        <w:ind w:left="360"/>
        <w:jc w:val="left"/>
      </w:pPr>
      <w:r>
        <w:rPr>
          <w:b/>
          <w:bCs/>
          <w:color w:val="AAAAAA"/>
          <w:sz w:val="28"/>
          <w:szCs w:val="28"/>
        </w:rPr>
        <w:t xml:space="preserve">↓</w:t>
      </w:r>
    </w:p>
    <w:p>
      <w:pPr>
        <w:pBdr>
          <w:left w:val="single" w:color="2E5596" w:sz="12" w:space="12"/>
        </w:pBdr>
        <w:spacing w:after="80" w:before="80"/>
        <w:ind w:left="360"/>
      </w:pPr>
      <w:r>
        <w:rPr>
          <w:b/>
          <w:bCs/>
          <w:color w:val="2E5596"/>
          <w:sz w:val="24"/>
          <w:szCs w:val="24"/>
        </w:rPr>
        <w:t xml:space="preserve">RITMO BASAL</w:t>
      </w:r>
      <w:r>
        <w:rPr>
          <w:color w:val="555555"/>
          <w:sz w:val="22"/>
          <w:szCs w:val="22"/>
        </w:rPr>
        <w:t xml:space="preserve">   Respiración, latido — antes de toda conciencia</w:t>
      </w:r>
    </w:p>
    <w:p>
      <w:pPr>
        <w:spacing w:after="40" w:before="40"/>
        <w:ind w:left="360"/>
        <w:jc w:val="left"/>
      </w:pPr>
      <w:r>
        <w:rPr>
          <w:b/>
          <w:bCs/>
          <w:color w:val="AAAAAA"/>
          <w:sz w:val="28"/>
          <w:szCs w:val="28"/>
        </w:rPr>
        <w:t xml:space="preserve">↓</w:t>
      </w:r>
    </w:p>
    <w:p>
      <w:pPr>
        <w:pBdr>
          <w:left w:val="single" w:color="2E5596" w:sz="12" w:space="12"/>
        </w:pBdr>
        <w:spacing w:after="80" w:before="80"/>
        <w:ind w:left="360"/>
      </w:pPr>
      <w:r>
        <w:rPr>
          <w:b/>
          <w:bCs/>
          <w:color w:val="2E5596"/>
          <w:sz w:val="24"/>
          <w:szCs w:val="24"/>
        </w:rPr>
        <w:t xml:space="preserve">TONO VAGAL</w:t>
      </w:r>
      <w:r>
        <w:rPr>
          <w:color w:val="555555"/>
          <w:sz w:val="22"/>
          <w:szCs w:val="22"/>
        </w:rPr>
        <w:t xml:space="preserve">   Nervio vago ventral — plataforma somática</w:t>
      </w:r>
    </w:p>
    <w:p>
      <w:pPr>
        <w:spacing w:after="40" w:before="40"/>
        <w:ind w:left="360"/>
        <w:jc w:val="left"/>
      </w:pPr>
      <w:r>
        <w:rPr>
          <w:b/>
          <w:bCs/>
          <w:color w:val="AAAAAA"/>
          <w:sz w:val="28"/>
          <w:szCs w:val="28"/>
        </w:rPr>
        <w:t xml:space="preserve">↓</w:t>
      </w:r>
    </w:p>
    <w:p>
      <w:pPr>
        <w:pBdr>
          <w:left w:val="single" w:color="2E5596" w:sz="12" w:space="12"/>
        </w:pBdr>
        <w:spacing w:after="80" w:before="80"/>
        <w:ind w:left="360"/>
      </w:pPr>
      <w:r>
        <w:rPr>
          <w:b/>
          <w:bCs/>
          <w:color w:val="2E5596"/>
          <w:sz w:val="24"/>
          <w:szCs w:val="24"/>
        </w:rPr>
        <w:t xml:space="preserve">ESTÓMAGO / DIGESTIÓN</w:t>
      </w:r>
      <w:r>
        <w:rPr>
          <w:color w:val="555555"/>
          <w:sz w:val="22"/>
          <w:szCs w:val="22"/>
        </w:rPr>
        <w:t xml:space="preserve">   Plataforma visceral — hay que comer primero</w:t>
      </w:r>
    </w:p>
    <w:p>
      <w:pPr>
        <w:spacing w:after="40" w:before="40"/>
        <w:ind w:left="360"/>
        <w:jc w:val="left"/>
      </w:pPr>
      <w:r>
        <w:rPr>
          <w:b/>
          <w:bCs/>
          <w:color w:val="AAAAAA"/>
          <w:sz w:val="28"/>
          <w:szCs w:val="28"/>
        </w:rPr>
        <w:t xml:space="preserve">↓</w:t>
      </w:r>
    </w:p>
    <w:p>
      <w:pPr>
        <w:pBdr>
          <w:left w:val="single" w:color="2E5596" w:sz="12" w:space="12"/>
        </w:pBdr>
        <w:spacing w:after="80" w:before="80"/>
        <w:ind w:left="360"/>
      </w:pPr>
      <w:r>
        <w:rPr>
          <w:b/>
          <w:bCs/>
          <w:color w:val="2E5596"/>
          <w:sz w:val="24"/>
          <w:szCs w:val="24"/>
        </w:rPr>
        <w:t xml:space="preserve">ANANDAMIDA</w:t>
      </w:r>
      <w:r>
        <w:rPr>
          <w:color w:val="555555"/>
          <w:sz w:val="22"/>
          <w:szCs w:val="22"/>
        </w:rPr>
        <w:t xml:space="preserve">   Ventana bioquímica de acceso</w:t>
      </w:r>
    </w:p>
    <w:p>
      <w:pPr>
        <w:spacing w:after="40" w:before="40"/>
        <w:ind w:left="360"/>
        <w:jc w:val="left"/>
      </w:pPr>
      <w:r>
        <w:rPr>
          <w:b/>
          <w:bCs/>
          <w:color w:val="AAAAAA"/>
          <w:sz w:val="28"/>
          <w:szCs w:val="28"/>
        </w:rPr>
        <w:t xml:space="preserve">↓</w:t>
      </w:r>
    </w:p>
    <w:p>
      <w:pPr>
        <w:pBdr>
          <w:left w:val="single" w:color="2E5596" w:sz="12" w:space="12"/>
        </w:pBdr>
        <w:spacing w:after="80" w:before="80"/>
        <w:ind w:left="360"/>
      </w:pPr>
      <w:r>
        <w:rPr>
          <w:b/>
          <w:bCs/>
          <w:color w:val="2E5596"/>
          <w:sz w:val="24"/>
          <w:szCs w:val="24"/>
        </w:rPr>
        <w:t xml:space="preserve">SEÑAL DE ORIENTACIÓN</w:t>
      </w:r>
      <w:r>
        <w:rPr>
          <w:color w:val="555555"/>
          <w:sz w:val="22"/>
          <w:szCs w:val="22"/>
        </w:rPr>
        <w:t xml:space="preserve">   Estructura verbal interna — intención sostenida</w:t>
      </w:r>
    </w:p>
    <w:p>
      <w:pPr>
        <w:spacing w:after="40" w:before="40"/>
        <w:ind w:left="360"/>
        <w:jc w:val="left"/>
      </w:pPr>
      <w:r>
        <w:rPr>
          <w:b/>
          <w:bCs/>
          <w:color w:val="AAAAAA"/>
          <w:sz w:val="28"/>
          <w:szCs w:val="28"/>
        </w:rPr>
        <w:t xml:space="preserve">↓</w:t>
      </w:r>
    </w:p>
    <w:p>
      <w:pPr>
        <w:pBdr>
          <w:left w:val="single" w:color="1F3864" w:sz="12" w:space="12"/>
        </w:pBdr>
        <w:spacing w:after="80" w:before="80"/>
        <w:ind w:left="360"/>
      </w:pPr>
      <w:r>
        <w:rPr>
          <w:b/>
          <w:bCs/>
          <w:color w:val="1F3864"/>
          <w:sz w:val="24"/>
          <w:szCs w:val="24"/>
        </w:rPr>
        <w:t xml:space="preserve">VERBO HUMANO</w:t>
      </w:r>
      <w:r>
        <w:rPr>
          <w:color w:val="555555"/>
          <w:sz w:val="22"/>
          <w:szCs w:val="22"/>
        </w:rPr>
        <w:t xml:space="preserve">   verbo → sonido = acción</w:t>
      </w:r>
    </w:p>
    <w:p>
      <w:pPr>
        <w:spacing w:after="40" w:before="40"/>
        <w:ind w:left="360"/>
        <w:jc w:val="left"/>
      </w:pPr>
      <w:r>
        <w:rPr>
          <w:b/>
          <w:bCs/>
          <w:color w:val="AAAAAA"/>
          <w:sz w:val="28"/>
          <w:szCs w:val="28"/>
        </w:rPr>
        <w:t xml:space="preserve">↓</w:t>
      </w:r>
    </w:p>
    <w:p>
      <w:pPr>
        <w:pBdr>
          <w:left w:val="single" w:color="2E5596" w:sz="12" w:space="12"/>
        </w:pBdr>
        <w:spacing w:after="80" w:before="80"/>
        <w:ind w:left="360"/>
      </w:pPr>
      <w:r>
        <w:rPr>
          <w:b/>
          <w:bCs/>
          <w:color w:val="2E5596"/>
          <w:sz w:val="24"/>
          <w:szCs w:val="24"/>
        </w:rPr>
        <w:t xml:space="preserve">RECONSOLIDACIÓN DE MEMORIA</w:t>
      </w:r>
      <w:r>
        <w:rPr>
          <w:color w:val="555555"/>
          <w:sz w:val="22"/>
          <w:szCs w:val="22"/>
        </w:rPr>
        <w:t xml:space="preserve">   Nader — reescritura del trazo traumático</w:t>
      </w:r>
    </w:p>
    <w:p>
      <w:pPr>
        <w:spacing w:after="40" w:before="40"/>
        <w:ind w:left="360"/>
        <w:jc w:val="left"/>
      </w:pPr>
      <w:r>
        <w:rPr>
          <w:b/>
          <w:bCs/>
          <w:color w:val="AAAAAA"/>
          <w:sz w:val="28"/>
          <w:szCs w:val="28"/>
        </w:rPr>
        <w:t xml:space="preserve">↓</w:t>
      </w:r>
    </w:p>
    <w:p>
      <w:pPr>
        <w:pBdr>
          <w:left w:val="single" w:color="2E5596" w:sz="12" w:space="12"/>
        </w:pBdr>
        <w:spacing w:after="80" w:before="80"/>
        <w:ind w:left="360"/>
      </w:pPr>
      <w:r>
        <w:rPr>
          <w:b/>
          <w:bCs/>
          <w:color w:val="2E5596"/>
          <w:sz w:val="24"/>
          <w:szCs w:val="24"/>
        </w:rPr>
        <w:t xml:space="preserve">RECONFIGURACIÓN EPIGENÉTICA</w:t>
      </w:r>
      <w:r>
        <w:rPr>
          <w:color w:val="555555"/>
          <w:sz w:val="22"/>
          <w:szCs w:val="22"/>
        </w:rPr>
        <w:t xml:space="preserve">   Yehuda, Meaney — expresión génica modificada</w:t>
      </w:r>
    </w:p>
    <w:p>
      <w:pPr>
        <w:spacing w:after="200"/>
      </w:pPr>
    </w:p>
    <w:p>
      <w:pPr>
        <w:pStyle w:val="Heading2"/>
      </w:pPr>
      <w:r>
        <w:t xml:space="preserve">4. Lo que el grafo revela</w:t>
      </w:r>
    </w:p>
    <w:p>
      <w:pPr>
        <w:spacing w:after="160"/>
      </w:pPr>
      <w:r>
        <w:t xml:space="preserve">El Verbo aparece dos veces en el grafo: al inicio como condición ontológica (Verbo primordial), y en el centro como operador consciente (Verbo humano). Todo lo que está entre ambos es la arquitectura biológica que conecta los dos niveles.</w:t>
      </w:r>
    </w:p>
    <w:p>
      <w:pPr>
        <w:spacing w:after="120"/>
      </w:pPr>
      <w:r>
        <w:t xml:space="preserve">La distinción ontológica ya establecida en la tesis se sostiene y se enriquece:</w:t>
      </w:r>
    </w:p>
    <w:p>
      <w:pPr>
        <w:spacing w:after="100"/>
        <w:ind w:left="480"/>
      </w:pPr>
      <w:r>
        <w:rPr>
          <w:i/>
          <w:iCs/>
        </w:rPr>
        <w:t xml:space="preserve">verbo → sonido = acción</w:t>
      </w:r>
      <w:r>
        <w:t xml:space="preserve">   (nivel humano — operador consciente)</w:t>
      </w:r>
    </w:p>
    <w:p>
      <w:pPr>
        <w:spacing w:after="200"/>
        <w:ind w:left="480"/>
      </w:pPr>
      <w:r>
        <w:rPr>
          <w:i/>
          <w:iCs/>
        </w:rPr>
        <w:t xml:space="preserve">Verbo → Sonido = Creación</w:t>
      </w:r>
      <w:r>
        <w:t xml:space="preserve">   (nivel primordial — condición ontológica)</w:t>
      </w:r>
    </w:p>
    <w:p>
      <w:pPr>
        <w:spacing w:after="200"/>
      </w:pPr>
      <w:r>
        <w:t xml:space="preserve">La anandamida no reemplaza al Verbo como co-regulador primario. Es la interfaz de aterrizaje — el traductor bioquímico que permite que la señal del Verbo humano descienda del córtex al cuerpo. Sin ella, el Verbo opera pero no reconfigura. Con ella, la reconsolidación es posible.</w:t>
      </w:r>
    </w:p>
    <w:p>
      <w:pPr>
        <w:pStyle w:val="Heading2"/>
      </w:pPr>
      <w:r>
        <w:t xml:space="preserve">5. Implicaciones para la tesis</w:t>
      </w:r>
    </w:p>
    <w:p>
      <w:pPr>
        <w:spacing w:after="160"/>
      </w:pPr>
      <w:r>
        <w:t xml:space="preserve">Esta semilla no modifica el título ni la arquitectura central de la tesis. Añade una capa de precisión bioquímica a la Capa 1 (Mecanismo) de los capítulos relevantes, especialmente el Capítulo 2 (trauma) donde la ventana de acceso post-traumático es determinante.</w:t>
      </w:r>
    </w:p>
    <w:p>
      <w:pPr>
        <w:spacing w:after="400"/>
      </w:pPr>
      <w:r>
        <w:t xml:space="preserve">Pregunta que queda abierta para desarrollo posterior: ¿puede el Verbo primordial, mediante práctica contemplativa sostenida (Qi Gong, meditación, oración), elevar el tono vagal basal de forma duradera, creando una condición crónica de disponibilidad de anandamida? Si la respuesta es sí, el grafo se vuelve circular — y la tesis adquiere una dimensión de práctica preventiva, no solo terapéutica.</w:t>
      </w:r>
    </w:p>
    <w:p>
      <w:pPr>
        <w:jc w:val="center"/>
      </w:pPr>
      <w:r>
        <w:rPr>
          <w:i/>
          <w:iCs/>
          <w:color w:val="999999"/>
          <w:sz w:val="18"/>
          <w:szCs w:val="18"/>
        </w:rPr>
        <w:t xml:space="preserve">Guillermo Emigdio Miniño Álvarez · El Verbo como Co-regulador Primario · Villa Soñador, Bonao, República Dominicana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59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2026-05-28T14:44:40.115Z</dcterms:created>
  <dcterms:modified xsi:type="dcterms:W3CDTF">2026-05-28T14:44:40.116Z</dcterms:modified>
</cp:coreProperties>
</file>

<file path=docProps/custom.xml><?xml version="1.0" encoding="utf-8"?>
<Properties xmlns="http://schemas.openxmlformats.org/officeDocument/2006/custom-properties" xmlns:vt="http://schemas.openxmlformats.org/officeDocument/2006/docPropsVTypes"/>
</file>