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20"/>
              <w:left w:type="dxa" w:w="400"/>
              <w:bottom w:type="dxa" w:w="320"/>
              <w:right w:type="dxa" w:w="400"/>
            </w:tcMar>
          </w:tcPr>
          <w:p>
            <w:pPr>
              <w:spacing w:after="100" w:before="0"/>
              <w:jc w:val="center"/>
            </w:pPr>
            <w:r>
              <w:rPr>
                <w:rFonts w:ascii="Arial" w:cs="Arial" w:eastAsia="Arial" w:hAnsi="Arial"/>
                <w:b/>
                <w:bCs/>
                <w:color w:val="FFFFFF"/>
                <w:sz w:val="36"/>
                <w:szCs w:val="36"/>
              </w:rPr>
              <w:t xml:space="preserve">KNINORD, SRL</w:t>
            </w:r>
          </w:p>
          <w:p>
            <w:pPr>
              <w:spacing w:after="60" w:before="0"/>
              <w:jc w:val="center"/>
            </w:pPr>
            <w:r>
              <w:rPr>
                <w:rFonts w:ascii="Arial" w:cs="Arial" w:eastAsia="Arial" w:hAnsi="Arial"/>
                <w:b/>
                <w:bCs/>
                <w:color w:val="C8DCF0"/>
                <w:sz w:val="24"/>
                <w:szCs w:val="24"/>
              </w:rPr>
              <w:t xml:space="preserve">ESTATUTOS SOCIALES</w:t>
            </w:r>
          </w:p>
          <w:p>
            <w:pPr>
              <w:spacing w:after="0" w:before="0"/>
              <w:jc w:val="center"/>
            </w:pPr>
            <w:r>
              <w:rPr>
                <w:rFonts w:ascii="Arial" w:cs="Arial" w:eastAsia="Arial" w:hAnsi="Arial"/>
                <w:i/>
                <w:iCs/>
                <w:color w:val="A8C8E8"/>
                <w:sz w:val="20"/>
                <w:szCs w:val="20"/>
              </w:rPr>
              <w:t xml:space="preserve">Sociedad Gestora y Holding — Ley No. 479-08   |   Borrador v1</w:t>
            </w:r>
          </w:p>
        </w:tc>
      </w:tr>
    </w:tbl>
    <w:p>
      <w:pPr>
        <w:spacing w:after="60" w:before="60"/>
      </w:pPr>
      <w:r>
        <w:rPr>
          <w:rFonts w:ascii="Arial" w:cs="Arial" w:eastAsia="Arial" w:hAnsi="Arial"/>
          <w:color w:val="000000"/>
          <w:sz w:val="22"/>
          <w:szCs w:val="22"/>
        </w:rPr>
        <w:t xml:space="preserve"/>
      </w:r>
    </w:p>
    <w:p>
      <w:pPr>
        <w:spacing w:after="100" w:before="80"/>
        <w:jc w:val="both"/>
      </w:pPr>
      <w:r>
        <w:rPr>
          <w:rFonts w:ascii="Arial" w:cs="Arial" w:eastAsia="Arial" w:hAnsi="Arial"/>
          <w:i/>
          <w:iCs/>
          <w:color w:val="555555"/>
          <w:sz w:val="22"/>
          <w:szCs w:val="22"/>
        </w:rPr>
        <w:t xml:space="preserve">Conforme a la Ley No. 479-08 sobre Sociedades Comerciales y Empresas Individuales de Responsabilidad Limitada, modificada por la Ley No. 31-11, y demás disposiciones legales vigentes de la República Dominicana.</w:t>
      </w:r>
    </w:p>
    <w:p>
      <w:pPr>
        <w:pBdr>
          <w:bottom w:val="single" w:color="2E75B6" w:sz="6" w:space="4"/>
        </w:pBdr>
        <w:spacing w:after="160" w:before="160"/>
      </w:pPr>
      <w:r>
        <w:rPr>
          <w:rFonts w:ascii="Arial" w:cs="Arial" w:eastAsia="Arial" w:hAnsi="Arial"/>
          <w:color w:val="000000"/>
          <w:sz w:val="22"/>
          <w:szCs w:val="22"/>
        </w:rPr>
        <w:t xml:space="preserve"/>
      </w:r>
    </w:p>
    <w:p>
      <w:pPr>
        <w:spacing w:after="80" w:before="200"/>
      </w:pPr>
      <w:r>
        <w:rPr>
          <w:rFonts w:ascii="Arial" w:cs="Arial" w:eastAsia="Arial" w:hAnsi="Arial"/>
          <w:b/>
          <w:bCs/>
          <w:color w:val="2E75B6"/>
          <w:sz w:val="22"/>
          <w:szCs w:val="22"/>
        </w:rPr>
        <w:t xml:space="preserve">ARTÍCULO PRIMERO. — DENOMINACIÓN SOCIAL</w:t>
      </w:r>
    </w:p>
    <w:p>
      <w:pPr>
        <w:spacing w:after="100" w:before="0"/>
        <w:jc w:val="both"/>
      </w:pPr>
      <w:r>
        <w:rPr>
          <w:rFonts w:ascii="Arial" w:cs="Arial" w:eastAsia="Arial" w:hAnsi="Arial"/>
          <w:color w:val="000000"/>
          <w:sz w:val="22"/>
          <w:szCs w:val="22"/>
        </w:rPr>
        <w:t xml:space="preserve">Se constituye una Sociedad de Responsabilidad Limitada (SRL) que girará bajo la denominación social KNINORD, SRL, en adelante también denominada 'la Sociedad', la cual se regirá por los presentes estatutos y por las disposiciones de la Ley No. 479-08 y sus modificaciones.</w:t>
      </w:r>
    </w:p>
    <w:p>
      <w:pPr>
        <w:spacing w:after="80" w:before="200"/>
      </w:pPr>
      <w:r>
        <w:rPr>
          <w:rFonts w:ascii="Arial" w:cs="Arial" w:eastAsia="Arial" w:hAnsi="Arial"/>
          <w:b/>
          <w:bCs/>
          <w:color w:val="2E75B6"/>
          <w:sz w:val="22"/>
          <w:szCs w:val="22"/>
        </w:rPr>
        <w:t xml:space="preserve">ARTÍCULO SEGUNDO. — OBJETO SOCIAL</w:t>
      </w:r>
    </w:p>
    <w:p>
      <w:pPr>
        <w:spacing w:after="100" w:before="0"/>
        <w:jc w:val="both"/>
      </w:pPr>
      <w:r>
        <w:rPr>
          <w:rFonts w:ascii="Arial" w:cs="Arial" w:eastAsia="Arial" w:hAnsi="Arial"/>
          <w:color w:val="000000"/>
          <w:sz w:val="22"/>
          <w:szCs w:val="22"/>
        </w:rPr>
        <w:t xml:space="preserve">La Sociedad tiene por objeto la realización de toda clase de actividades comerciales, industriales, agropecuarias, financieras, de servicios y de cualquier otra naturaleza lícita, ya sea en forma directa o indirecta, por cuenta propia o de terceros, en el territorio de la República Dominicana o en el extranjero. De manera enunciativa y sin carácter limitativo, podrá dedicarse a: la gestión, desarrollo, operación y comercialización de proyectos en cualquier sector económico; el adiestramiento, entrenamiento y educación animal en múltiples especies; la producción agrícola, hortícola y pecuaria en todas sus modalidades; la apicultura y comercialización de sus derivados; la producción, transformación, almacenamiento y comercialización de alimentos frescos y procesados; la logística y operación de instalaciones frigoríficas; el franquiciamiento, licenciamiento y comercialización de programas educativos, metodologías pedagógicas y propiedad intelectual en cualquier área del conocimiento; el turismo ecológico, hospedaje, recreación y servicios conexos; la producción cinematográfica, audiovisual, fotográfica y documental; la importación y exportación de bienes y servicios; la consultoría, asesoría, capacitación y representación comercial; la adquisición, administración y disposición de bienes muebles e inmuebles; y cualquier otra actividad económica lícita que los socios determinen conveniente. La Sociedad podrá constituir, adquirir, fusionarse, asociarse o participar en otras sociedades o entidades, nacionales o extranjeras, y podrá actuar como gestora, operadora, licenciataria, mandataria o contratista de personas físicas, jurídicas, asociaciones sin fines de lucro, organismos públicos o privados, nacionales o internacionales, sin restricción de sector ni de modalidad contractual.</w:t>
      </w:r>
    </w:p>
    <w:p>
      <w:pPr>
        <w:spacing w:after="80" w:before="200"/>
      </w:pPr>
      <w:r>
        <w:rPr>
          <w:rFonts w:ascii="Arial" w:cs="Arial" w:eastAsia="Arial" w:hAnsi="Arial"/>
          <w:b/>
          <w:bCs/>
          <w:color w:val="2E75B6"/>
          <w:sz w:val="22"/>
          <w:szCs w:val="22"/>
        </w:rPr>
        <w:t xml:space="preserve">ARTÍCULO TERCERO. — DOMICILIO SOCIAL</w:t>
      </w:r>
    </w:p>
    <w:p>
      <w:pPr>
        <w:spacing w:after="100" w:before="0"/>
        <w:jc w:val="both"/>
      </w:pPr>
      <w:r>
        <w:rPr>
          <w:rFonts w:ascii="Arial" w:cs="Arial" w:eastAsia="Arial" w:hAnsi="Arial"/>
          <w:color w:val="000000"/>
          <w:sz w:val="22"/>
          <w:szCs w:val="22"/>
        </w:rPr>
        <w:t xml:space="preserve">El domicilio social de la Sociedad se establece en Villa Soñador, Bonao, Provincia Monseñor Nouel, República Dominicana. La Sociedad podrá establecer sucursales, agencias, oficinas o representaciones en cualquier lugar del territorio nacional o en el extranjero, por decisión de su Gerente-Administrador, sin necesidad de modificar los presentes estatutos.</w:t>
      </w:r>
    </w:p>
    <w:p>
      <w:pPr>
        <w:spacing w:after="80" w:before="200"/>
      </w:pPr>
      <w:r>
        <w:rPr>
          <w:rFonts w:ascii="Arial" w:cs="Arial" w:eastAsia="Arial" w:hAnsi="Arial"/>
          <w:b/>
          <w:bCs/>
          <w:color w:val="2E75B6"/>
          <w:sz w:val="22"/>
          <w:szCs w:val="22"/>
        </w:rPr>
        <w:t xml:space="preserve">ARTÍCULO CUARTO. — DURACIÓN</w:t>
      </w:r>
    </w:p>
    <w:p>
      <w:pPr>
        <w:spacing w:after="100" w:before="0"/>
        <w:jc w:val="both"/>
      </w:pPr>
      <w:r>
        <w:rPr>
          <w:rFonts w:ascii="Arial" w:cs="Arial" w:eastAsia="Arial" w:hAnsi="Arial"/>
          <w:color w:val="000000"/>
          <w:sz w:val="22"/>
          <w:szCs w:val="22"/>
        </w:rPr>
        <w:t xml:space="preserve">La Sociedad se constituye por tiempo indefinido, a partir de la fecha de su inscripción en el Registro Mercantil correspondiente, salvo que sea disuelta anticipadamente conforme a lo establecido en los presentes estatutos o en la ley.</w:t>
      </w:r>
    </w:p>
    <w:p>
      <w:pPr>
        <w:spacing w:after="80" w:before="200"/>
      </w:pPr>
      <w:r>
        <w:rPr>
          <w:rFonts w:ascii="Arial" w:cs="Arial" w:eastAsia="Arial" w:hAnsi="Arial"/>
          <w:b/>
          <w:bCs/>
          <w:color w:val="2E75B6"/>
          <w:sz w:val="22"/>
          <w:szCs w:val="22"/>
        </w:rPr>
        <w:t xml:space="preserve">ARTÍCULO QUINTO. — CAPITAL SOCIAL</w:t>
      </w:r>
    </w:p>
    <w:p>
      <w:pPr>
        <w:spacing w:after="100" w:before="0"/>
        <w:jc w:val="both"/>
      </w:pPr>
      <w:r>
        <w:rPr>
          <w:rFonts w:ascii="Arial" w:cs="Arial" w:eastAsia="Arial" w:hAnsi="Arial"/>
          <w:color w:val="000000"/>
          <w:sz w:val="22"/>
          <w:szCs w:val="22"/>
        </w:rPr>
        <w:t xml:space="preserve">El capital social se fija en la suma de CIEN MIL PESOS DOMINICANOS (RD$100,000.00), dividido en cien (100) participaciones sociales de igual valor nominal de MIL PESOS DOMINICANOS (RD$1,000.00) cada una, íntegramente suscritas y pagadas por los socios fundadores en la proporción establecida en el Artículo Séptimo de los presentes estatutos. El capital social podrá ser aumentado o reducido por decisión de los socios conforme a la Ley No. 479-08.</w:t>
      </w:r>
    </w:p>
    <w:p>
      <w:pPr>
        <w:spacing w:after="80" w:before="200"/>
      </w:pPr>
      <w:r>
        <w:rPr>
          <w:rFonts w:ascii="Arial" w:cs="Arial" w:eastAsia="Arial" w:hAnsi="Arial"/>
          <w:b/>
          <w:bCs/>
          <w:color w:val="2E75B6"/>
          <w:sz w:val="22"/>
          <w:szCs w:val="22"/>
        </w:rPr>
        <w:t xml:space="preserve">ARTÍCULO SEXTO. — PARTICIPACIONES SOCIALES</w:t>
      </w:r>
    </w:p>
    <w:p>
      <w:pPr>
        <w:spacing w:after="100" w:before="0"/>
        <w:jc w:val="both"/>
      </w:pPr>
      <w:r>
        <w:rPr>
          <w:rFonts w:ascii="Arial" w:cs="Arial" w:eastAsia="Arial" w:hAnsi="Arial"/>
          <w:color w:val="000000"/>
          <w:sz w:val="22"/>
          <w:szCs w:val="22"/>
        </w:rPr>
        <w:t xml:space="preserve">Las participaciones son nominativas, indivisibles y no podrán ser cedidas a terceros sin el consentimiento previo y por escrito de los socios que representen al menos el setenta y cinco por ciento (75%) del capital social. En caso de fallecimiento de un socio, sus participaciones podrán ser adquiridas por los socios restantes al valor de mercado, conforme a la ley.</w:t>
      </w:r>
    </w:p>
    <w:p>
      <w:pPr>
        <w:spacing w:after="80" w:before="200"/>
      </w:pPr>
      <w:r>
        <w:rPr>
          <w:rFonts w:ascii="Arial" w:cs="Arial" w:eastAsia="Arial" w:hAnsi="Arial"/>
          <w:b/>
          <w:bCs/>
          <w:color w:val="2E75B6"/>
          <w:sz w:val="22"/>
          <w:szCs w:val="22"/>
        </w:rPr>
        <w:t xml:space="preserve">ARTÍCULO SÉPTIMO. — DISTRIBUCIÓN DE PARTICIPACIONES</w:t>
      </w:r>
    </w:p>
    <w:p>
      <w:pPr>
        <w:spacing w:after="100" w:before="0"/>
        <w:jc w:val="both"/>
      </w:pPr>
      <w:r>
        <w:rPr>
          <w:rFonts w:ascii="Arial" w:cs="Arial" w:eastAsia="Arial" w:hAnsi="Arial"/>
          <w:color w:val="000000"/>
          <w:sz w:val="22"/>
          <w:szCs w:val="22"/>
        </w:rPr>
        <w:t xml:space="preserve">Las cien (100) participaciones sociales se distribuyen entre los socios fundadores de la siguiente manera: Guillermo Emigdio Miniño Álvarez, dominicano, portador de la C.I. No. 001-0977514-8: ochenta y cinco (85) participaciones equivalentes al ochenta y cinco por ciento (85%) del capital social. Rocío Elizabeth Esteves Martínez, dominicana, portadora de la C.I. No. 001-1279063-9: diez (10) participaciones equivalentes al diez por ciento (10%). José Ángel de los Santos, dominicano: cinco (5) participaciones equivalentes al cinco por ciento (5%).</w:t>
      </w:r>
    </w:p>
    <w:p>
      <w:pPr>
        <w:spacing w:after="80" w:before="200"/>
      </w:pPr>
      <w:r>
        <w:rPr>
          <w:rFonts w:ascii="Arial" w:cs="Arial" w:eastAsia="Arial" w:hAnsi="Arial"/>
          <w:b/>
          <w:bCs/>
          <w:color w:val="2E75B6"/>
          <w:sz w:val="22"/>
          <w:szCs w:val="22"/>
        </w:rPr>
        <w:t xml:space="preserve">ARTÍCULO OCTAVO. — ADMINISTRACIÓN — GERENTE-ADMINISTRADOR</w:t>
      </w:r>
    </w:p>
    <w:p>
      <w:pPr>
        <w:spacing w:after="100" w:before="0"/>
        <w:jc w:val="both"/>
      </w:pPr>
      <w:r>
        <w:rPr>
          <w:rFonts w:ascii="Arial" w:cs="Arial" w:eastAsia="Arial" w:hAnsi="Arial"/>
          <w:color w:val="000000"/>
          <w:sz w:val="22"/>
          <w:szCs w:val="22"/>
        </w:rPr>
        <w:t xml:space="preserve">La Sociedad será administrada por un Gerente-Administrador designado por los socios. Tendrá las más amplias facultades de administración y disposición, incluyendo sin limitación: representar a la Sociedad judicial y extrajudicialmente ante toda clase de personas, organismos y autoridades; suscribir contratos, convenios, alianzas y acuerdos en cualquier sector y modalidad; abrir, operar y cerrar cuentas bancarias; contratar y despedir personal; otorgar y revocar poderes especiales; adquirir, gravar y disponer de bienes muebles e inmuebles; constituir, adquirir participaciones o liquidar sociedades; gestionar el registro y defensa de marcas, patentes y propiedad intelectual; y actuar como representante, gestor u operador de terceros. Los actos que impliquen disposición de bienes inmuebles o compromisos superiores al equivalente de quinientos (500) salarios mínimos nacionales requerirán autorización previa de socios que representen el cincuenta y un por ciento (51%) del capital.</w:t>
      </w:r>
    </w:p>
    <w:p>
      <w:pPr>
        <w:spacing w:after="80" w:before="200"/>
      </w:pPr>
      <w:r>
        <w:rPr>
          <w:rFonts w:ascii="Arial" w:cs="Arial" w:eastAsia="Arial" w:hAnsi="Arial"/>
          <w:b/>
          <w:bCs/>
          <w:color w:val="2E75B6"/>
          <w:sz w:val="22"/>
          <w:szCs w:val="22"/>
        </w:rPr>
        <w:t xml:space="preserve">ARTÍCULO NOVENO. — SECRETARIA</w:t>
      </w:r>
    </w:p>
    <w:p>
      <w:pPr>
        <w:spacing w:after="100" w:before="0"/>
        <w:jc w:val="both"/>
      </w:pPr>
      <w:r>
        <w:rPr>
          <w:rFonts w:ascii="Arial" w:cs="Arial" w:eastAsia="Arial" w:hAnsi="Arial"/>
          <w:color w:val="000000"/>
          <w:sz w:val="22"/>
          <w:szCs w:val="22"/>
        </w:rPr>
        <w:t xml:space="preserve">La Sociedad contará con una Secretaria designada por los socios, quien asistirá al Gerente-Administrador, certificará las actas y acuerdos sociales, y custodiará el archivo y los libros sociales.</w:t>
      </w:r>
    </w:p>
    <w:p>
      <w:pPr>
        <w:spacing w:after="80" w:before="200"/>
      </w:pPr>
      <w:r>
        <w:rPr>
          <w:rFonts w:ascii="Arial" w:cs="Arial" w:eastAsia="Arial" w:hAnsi="Arial"/>
          <w:b/>
          <w:bCs/>
          <w:color w:val="2E75B6"/>
          <w:sz w:val="22"/>
          <w:szCs w:val="22"/>
        </w:rPr>
        <w:t xml:space="preserve">ARTÍCULO DÉCIMO. — LIBRO DE ACTAS Y REGISTROS OBLIGATORIOS</w:t>
      </w:r>
    </w:p>
    <w:p>
      <w:pPr>
        <w:spacing w:after="100" w:before="0"/>
        <w:jc w:val="both"/>
      </w:pPr>
      <w:r>
        <w:rPr>
          <w:rFonts w:ascii="Arial" w:cs="Arial" w:eastAsia="Arial" w:hAnsi="Arial"/>
          <w:color w:val="000000"/>
          <w:sz w:val="22"/>
          <w:szCs w:val="22"/>
        </w:rPr>
        <w:t xml:space="preserve">La Sociedad llevará los siguientes libros: (a) Libro de Actas de la Sociedad; (b) Libro de Registro de Socios con datos completos, participaciones y transferencias; (c) Libros de contabilidad conforme a la legislación tributaria vigente. El Gerente-Administrador es responsable de su custodia y actualización.</w:t>
      </w:r>
    </w:p>
    <w:p>
      <w:pPr>
        <w:spacing w:after="80" w:before="200"/>
      </w:pPr>
      <w:r>
        <w:rPr>
          <w:rFonts w:ascii="Arial" w:cs="Arial" w:eastAsia="Arial" w:hAnsi="Arial"/>
          <w:b/>
          <w:bCs/>
          <w:color w:val="2E75B6"/>
          <w:sz w:val="22"/>
          <w:szCs w:val="22"/>
        </w:rPr>
        <w:t xml:space="preserve">ARTÍCULO UNDÉCIMO. — LÍNEAS DE NEGOCIO Y CENTROS DE COSTO</w:t>
      </w:r>
    </w:p>
    <w:p>
      <w:pPr>
        <w:spacing w:after="100" w:before="0"/>
        <w:jc w:val="both"/>
      </w:pPr>
      <w:r>
        <w:rPr>
          <w:rFonts w:ascii="Arial" w:cs="Arial" w:eastAsia="Arial" w:hAnsi="Arial"/>
          <w:color w:val="000000"/>
          <w:sz w:val="22"/>
          <w:szCs w:val="22"/>
        </w:rPr>
        <w:t xml:space="preserve">La Sociedad podrá organizar sus actividades en líneas de negocio o centros de costo internos, identificados por nombres comerciales o marcas propias o licenciadas, sin que ello implique la constitución de personas jurídicas separadas. Cada línea de negocio operará bajo la personalidad jurídica única de KNINORD, SRL, con contabilidad interna diferenciada según los requerimientos de gestión de los socios. La decisión de constituir una entidad jurídica separada para cualquier línea de negocio corresponde al Gerente-Administrador con aprobación de los socios.</w:t>
      </w:r>
    </w:p>
    <w:p>
      <w:pPr>
        <w:spacing w:after="80" w:before="200"/>
      </w:pPr>
      <w:r>
        <w:rPr>
          <w:rFonts w:ascii="Arial" w:cs="Arial" w:eastAsia="Arial" w:hAnsi="Arial"/>
          <w:b/>
          <w:bCs/>
          <w:color w:val="2E75B6"/>
          <w:sz w:val="22"/>
          <w:szCs w:val="22"/>
        </w:rPr>
        <w:t xml:space="preserve">ARTÍCULO DUODÉCIMO. — RELACIÓN CON CLUB PARAÍSO ANIMAL, ASFL</w:t>
      </w:r>
    </w:p>
    <w:p>
      <w:pPr>
        <w:spacing w:after="100" w:before="0"/>
        <w:jc w:val="both"/>
      </w:pPr>
      <w:r>
        <w:rPr>
          <w:rFonts w:ascii="Arial" w:cs="Arial" w:eastAsia="Arial" w:hAnsi="Arial"/>
          <w:color w:val="000000"/>
          <w:sz w:val="22"/>
          <w:szCs w:val="22"/>
        </w:rPr>
        <w:t xml:space="preserve">La Sociedad podrá prestar servicios de gestión, operación, administración y apoyo a CLUB PARAÍSO ANIMAL, ASFL, y a cualquier otra entidad sin fines de lucro, mediante contratos de servicios, convenios de cooperación o cualquier otra modalidad lícita, sin que ello afecte la naturaleza comercial de KNINORD, SRL ni la naturaleza sin fines de lucro de las entidades beneficiarias.</w:t>
      </w:r>
    </w:p>
    <w:p>
      <w:pPr>
        <w:spacing w:after="80" w:before="200"/>
      </w:pPr>
      <w:r>
        <w:rPr>
          <w:rFonts w:ascii="Arial" w:cs="Arial" w:eastAsia="Arial" w:hAnsi="Arial"/>
          <w:b/>
          <w:bCs/>
          <w:color w:val="2E75B6"/>
          <w:sz w:val="22"/>
          <w:szCs w:val="22"/>
        </w:rPr>
        <w:t xml:space="preserve">ARTÍCULO DÉCIMO TERCERO. — EJERCICIO SOCIAL Y DISTRIBUCIÓN DE UTILIDADES</w:t>
      </w:r>
    </w:p>
    <w:p>
      <w:pPr>
        <w:spacing w:after="100" w:before="0"/>
        <w:jc w:val="both"/>
      </w:pPr>
      <w:r>
        <w:rPr>
          <w:rFonts w:ascii="Arial" w:cs="Arial" w:eastAsia="Arial" w:hAnsi="Arial"/>
          <w:color w:val="000000"/>
          <w:sz w:val="22"/>
          <w:szCs w:val="22"/>
        </w:rPr>
        <w:t xml:space="preserve">El ejercicio social coincidirá con el año calendario, cerrando el treinta y uno (31) de diciembre de cada año. Las utilidades netas, deducidas las reservas legales y las que los socios acuerden, se distribuirán en proporción a las participaciones de cada socio, por decisión de socios que representen la mayoría del capital social.</w:t>
      </w:r>
    </w:p>
    <w:p>
      <w:pPr>
        <w:spacing w:after="80" w:before="200"/>
      </w:pPr>
      <w:r>
        <w:rPr>
          <w:rFonts w:ascii="Arial" w:cs="Arial" w:eastAsia="Arial" w:hAnsi="Arial"/>
          <w:b/>
          <w:bCs/>
          <w:color w:val="2E75B6"/>
          <w:sz w:val="22"/>
          <w:szCs w:val="22"/>
        </w:rPr>
        <w:t xml:space="preserve">ARTÍCULO DÉCIMO CUARTO. — RESERVA LEGAL</w:t>
      </w:r>
    </w:p>
    <w:p>
      <w:pPr>
        <w:spacing w:after="100" w:before="0"/>
        <w:jc w:val="both"/>
      </w:pPr>
      <w:r>
        <w:rPr>
          <w:rFonts w:ascii="Arial" w:cs="Arial" w:eastAsia="Arial" w:hAnsi="Arial"/>
          <w:color w:val="000000"/>
          <w:sz w:val="22"/>
          <w:szCs w:val="22"/>
        </w:rPr>
        <w:t xml:space="preserve">De las utilidades netas de cada ejercicio se destinará un mínimo del cinco por ciento (5%) a la reserva legal, hasta alcanzar el veinte por ciento (20%) del capital social, conforme a la ley.</w:t>
      </w:r>
    </w:p>
    <w:p>
      <w:pPr>
        <w:spacing w:after="80" w:before="200"/>
      </w:pPr>
      <w:r>
        <w:rPr>
          <w:rFonts w:ascii="Arial" w:cs="Arial" w:eastAsia="Arial" w:hAnsi="Arial"/>
          <w:b/>
          <w:bCs/>
          <w:color w:val="2E75B6"/>
          <w:sz w:val="22"/>
          <w:szCs w:val="22"/>
        </w:rPr>
        <w:t xml:space="preserve">ARTÍCULO DÉCIMO QUINTO. — DISOLUCIÓN Y LIQUIDACIÓN</w:t>
      </w:r>
    </w:p>
    <w:p>
      <w:pPr>
        <w:spacing w:after="100" w:before="0"/>
        <w:jc w:val="both"/>
      </w:pPr>
      <w:r>
        <w:rPr>
          <w:rFonts w:ascii="Arial" w:cs="Arial" w:eastAsia="Arial" w:hAnsi="Arial"/>
          <w:color w:val="000000"/>
          <w:sz w:val="22"/>
          <w:szCs w:val="22"/>
        </w:rPr>
        <w:t xml:space="preserve">La Sociedad se disolverá por las causas establecidas en la Ley No. 479-08, por acuerdo unánime de los socios, o por decisión judicial. En caso de disolución, la liquidación se realizará conforme a la ley, designándose un liquidador por los socios o por el tribunal competente en su defecto.</w:t>
      </w:r>
    </w:p>
    <w:p>
      <w:pPr>
        <w:spacing w:after="80" w:before="200"/>
      </w:pPr>
      <w:r>
        <w:rPr>
          <w:rFonts w:ascii="Arial" w:cs="Arial" w:eastAsia="Arial" w:hAnsi="Arial"/>
          <w:b/>
          <w:bCs/>
          <w:color w:val="2E75B6"/>
          <w:sz w:val="22"/>
          <w:szCs w:val="22"/>
        </w:rPr>
        <w:t xml:space="preserve">ARTÍCULO DÉCIMO SEXTO. — LEY APLICABLE Y JURISDICCIÓN</w:t>
      </w:r>
    </w:p>
    <w:p>
      <w:pPr>
        <w:spacing w:after="100" w:before="0"/>
        <w:jc w:val="both"/>
      </w:pPr>
      <w:r>
        <w:rPr>
          <w:rFonts w:ascii="Arial" w:cs="Arial" w:eastAsia="Arial" w:hAnsi="Arial"/>
          <w:color w:val="000000"/>
          <w:sz w:val="22"/>
          <w:szCs w:val="22"/>
        </w:rPr>
        <w:t xml:space="preserve">Los presentes estatutos se rigen por las leyes de la República Dominicana. Para cualquier controversia los socios se someten a la jurisdicción de los tribunales competentes de la República Dominicana.</w:t>
      </w:r>
    </w:p>
    <w:p>
      <w:pPr>
        <w:pBdr>
          <w:bottom w:val="single" w:color="2E75B6" w:sz="6" w:space="4"/>
        </w:pBdr>
        <w:spacing w:after="160" w:before="16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
      </w:r>
    </w:p>
    <w:p>
      <w:pPr>
        <w:spacing w:after="100" w:before="80"/>
        <w:jc w:val="center"/>
      </w:pPr>
      <w:r>
        <w:rPr>
          <w:rFonts w:ascii="Arial" w:cs="Arial" w:eastAsia="Arial" w:hAnsi="Arial"/>
          <w:color w:val="000000"/>
          <w:sz w:val="22"/>
          <w:szCs w:val="22"/>
        </w:rPr>
        <w:t xml:space="preserve">EN FE DE LO CUAL, los socios fundadores, todos de nacionalidad dominicana y en pleno ejercicio</w:t>
      </w:r>
    </w:p>
    <w:p>
      <w:pPr>
        <w:spacing w:after="100" w:before="80"/>
        <w:jc w:val="center"/>
      </w:pPr>
      <w:r>
        <w:rPr>
          <w:rFonts w:ascii="Arial" w:cs="Arial" w:eastAsia="Arial" w:hAnsi="Arial"/>
          <w:color w:val="000000"/>
          <w:sz w:val="22"/>
          <w:szCs w:val="22"/>
        </w:rPr>
        <w:t xml:space="preserve">de sus derechos civiles, firman los presentes Estatutos en Villa Soñador, Bonao,</w:t>
      </w:r>
    </w:p>
    <w:p>
      <w:pPr>
        <w:spacing w:after="100" w:before="80"/>
        <w:jc w:val="center"/>
      </w:pPr>
      <w:r>
        <w:rPr>
          <w:rFonts w:ascii="Arial" w:cs="Arial" w:eastAsia="Arial" w:hAnsi="Arial"/>
          <w:color w:val="000000"/>
          <w:sz w:val="22"/>
          <w:szCs w:val="22"/>
        </w:rPr>
        <w:t xml:space="preserve">Provincia Monseñor Nouel, República Dominicana, a los _____ días de ______________ de 2026.</w:t>
      </w:r>
    </w:p>
    <w:p>
      <w:pPr>
        <w:spacing w:after="60" w:before="6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380"/>
        <w:gridCol w:w="4300"/>
      </w:tblGrid>
      <w:tr>
        <w:tc>
          <w:tcPr>
            <w:tcW w:type="dxa" w:w="4300"/>
            <w:tcBorders>
              <w:top w:val="single" w:color="CCCCCC" w:sz="1"/>
              <w:left w:val="single" w:color="CCCCCC" w:sz="1"/>
              <w:bottom w:val="single" w:color="CCCCCC" w:sz="1"/>
              <w:right w:val="single" w:color="CCCCCC" w:sz="1"/>
            </w:tcBorders>
            <w:tcMar>
              <w:top w:type="dxa" w:w="280"/>
              <w:left w:type="dxa" w:w="200"/>
              <w:bottom w:type="dxa" w:w="80"/>
              <w:right w:type="dxa" w:w="200"/>
            </w:tcMar>
          </w:tcPr>
          <w:p>
            <w:pPr>
              <w:pBdr>
                <w:top w:val="single" w:color="2E75B6" w:sz="4" w:space="2"/>
              </w:pBdr>
              <w:spacing w:after="40" w:before="80"/>
            </w:pPr>
            <w:r>
              <w:rPr>
                <w:rFonts w:ascii="Arial" w:cs="Arial" w:eastAsia="Arial" w:hAnsi="Arial"/>
                <w:b/>
                <w:bCs/>
                <w:color w:val="1F3864"/>
                <w:sz w:val="20"/>
                <w:szCs w:val="20"/>
              </w:rPr>
              <w:t xml:space="preserve">Guillermo Emigdio Miniño Álvarez</w:t>
            </w:r>
          </w:p>
          <w:p>
            <w:pPr>
              <w:spacing w:after="20" w:before="0"/>
            </w:pPr>
            <w:r>
              <w:rPr>
                <w:rFonts w:ascii="Arial" w:cs="Arial" w:eastAsia="Arial" w:hAnsi="Arial"/>
                <w:i/>
                <w:iCs/>
                <w:color w:val="444444"/>
                <w:sz w:val="19"/>
                <w:szCs w:val="19"/>
              </w:rPr>
              <w:t xml:space="preserve">Gerente-Administrador — 85%</w:t>
            </w:r>
          </w:p>
          <w:p>
            <w:pPr>
              <w:spacing w:after="0" w:before="0"/>
            </w:pPr>
            <w:r>
              <w:rPr>
                <w:rFonts w:ascii="Arial" w:cs="Arial" w:eastAsia="Arial" w:hAnsi="Arial"/>
                <w:color w:val="888888"/>
                <w:sz w:val="18"/>
                <w:szCs w:val="18"/>
              </w:rPr>
              <w:t xml:space="preserve">C.I.: 001-0977514-8</w:t>
            </w:r>
          </w:p>
        </w:tc>
        <w:tc>
          <w:tcPr>
            <w:tcW w:type="dxa" w:w="380"/>
            <w:tcBorders>
              <w:top w:val="none" w:color="FFFFFF" w:sz="0"/>
              <w:left w:val="none" w:color="FFFFFF" w:sz="0"/>
              <w:bottom w:val="none" w:color="FFFFFF" w:sz="0"/>
              <w:right w:val="none" w:color="FFFFFF" w:sz="0"/>
            </w:tcBorders>
          </w:tcPr>
          <w:p>
            <w:r>
              <w:rPr>
                <w:rFonts w:ascii="Arial" w:cs="Arial" w:eastAsia="Arial" w:hAnsi="Arial"/>
                <w:color w:val="000000"/>
                <w:sz w:val="22"/>
                <w:szCs w:val="22"/>
              </w:rPr>
              <w:t xml:space="preserve"/>
            </w:r>
          </w:p>
        </w:tc>
        <w:tc>
          <w:tcPr>
            <w:tcW w:type="dxa" w:w="4300"/>
            <w:tcBorders>
              <w:top w:val="single" w:color="CCCCCC" w:sz="1"/>
              <w:left w:val="single" w:color="CCCCCC" w:sz="1"/>
              <w:bottom w:val="single" w:color="CCCCCC" w:sz="1"/>
              <w:right w:val="single" w:color="CCCCCC" w:sz="1"/>
            </w:tcBorders>
            <w:tcMar>
              <w:top w:type="dxa" w:w="280"/>
              <w:left w:type="dxa" w:w="200"/>
              <w:bottom w:type="dxa" w:w="80"/>
              <w:right w:type="dxa" w:w="200"/>
            </w:tcMar>
          </w:tcPr>
          <w:p>
            <w:pPr>
              <w:pBdr>
                <w:top w:val="single" w:color="2E75B6" w:sz="4" w:space="2"/>
              </w:pBdr>
              <w:spacing w:after="40" w:before="80"/>
            </w:pPr>
            <w:r>
              <w:rPr>
                <w:rFonts w:ascii="Arial" w:cs="Arial" w:eastAsia="Arial" w:hAnsi="Arial"/>
                <w:b/>
                <w:bCs/>
                <w:color w:val="1F3864"/>
                <w:sz w:val="20"/>
                <w:szCs w:val="20"/>
              </w:rPr>
              <w:t xml:space="preserve">Rocío Elizabeth Esteves Martínez</w:t>
            </w:r>
          </w:p>
          <w:p>
            <w:pPr>
              <w:spacing w:after="20" w:before="0"/>
            </w:pPr>
            <w:r>
              <w:rPr>
                <w:rFonts w:ascii="Arial" w:cs="Arial" w:eastAsia="Arial" w:hAnsi="Arial"/>
                <w:i/>
                <w:iCs/>
                <w:color w:val="444444"/>
                <w:sz w:val="19"/>
                <w:szCs w:val="19"/>
              </w:rPr>
              <w:t xml:space="preserve">Secretaria — 10%</w:t>
            </w:r>
          </w:p>
          <w:p>
            <w:pPr>
              <w:spacing w:after="0" w:before="0"/>
            </w:pPr>
            <w:r>
              <w:rPr>
                <w:rFonts w:ascii="Arial" w:cs="Arial" w:eastAsia="Arial" w:hAnsi="Arial"/>
                <w:color w:val="888888"/>
                <w:sz w:val="18"/>
                <w:szCs w:val="18"/>
              </w:rPr>
              <w:t xml:space="preserve">C.I.: 001-1279063-9</w:t>
            </w:r>
          </w:p>
        </w:tc>
      </w:tr>
      <w:tr>
        <w:tc>
          <w:tcPr>
            <w:tcW w:type="dxa" w:w="936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000000"/>
                <w:sz w:val="22"/>
                <w:szCs w:val="22"/>
              </w:rPr>
              <w:t xml:space="preserve"/>
            </w:r>
          </w:p>
          <w:p>
            <w:pPr>
              <w:spacing w:after="60" w:before="60"/>
            </w:pPr>
            <w:r>
              <w:rPr>
                <w:rFonts w:ascii="Arial" w:cs="Arial" w:eastAsia="Arial" w:hAnsi="Arial"/>
                <w:color w:val="000000"/>
                <w:sz w:val="22"/>
                <w:szCs w:val="22"/>
              </w:rPr>
              <w:t xml:space="preserve"/>
            </w:r>
          </w:p>
        </w:tc>
      </w:tr>
      <w:tr>
        <w:tc>
          <w:tcPr>
            <w:tcW w:type="dxa" w:w="4300"/>
            <w:tcBorders>
              <w:top w:val="single" w:color="CCCCCC" w:sz="1"/>
              <w:left w:val="single" w:color="CCCCCC" w:sz="1"/>
              <w:bottom w:val="single" w:color="CCCCCC" w:sz="1"/>
              <w:right w:val="single" w:color="CCCCCC" w:sz="1"/>
            </w:tcBorders>
            <w:tcMar>
              <w:top w:type="dxa" w:w="280"/>
              <w:left w:type="dxa" w:w="200"/>
              <w:bottom w:type="dxa" w:w="80"/>
              <w:right w:type="dxa" w:w="200"/>
            </w:tcMar>
          </w:tcPr>
          <w:p>
            <w:pPr>
              <w:pBdr>
                <w:top w:val="single" w:color="2E75B6" w:sz="4" w:space="2"/>
              </w:pBdr>
              <w:spacing w:after="40" w:before="80"/>
            </w:pPr>
            <w:r>
              <w:rPr>
                <w:rFonts w:ascii="Arial" w:cs="Arial" w:eastAsia="Arial" w:hAnsi="Arial"/>
                <w:b/>
                <w:bCs/>
                <w:color w:val="1F3864"/>
                <w:sz w:val="20"/>
                <w:szCs w:val="20"/>
              </w:rPr>
              <w:t xml:space="preserve">José Ángel de los Santos</w:t>
            </w:r>
          </w:p>
          <w:p>
            <w:pPr>
              <w:spacing w:after="20" w:before="0"/>
            </w:pPr>
            <w:r>
              <w:rPr>
                <w:rFonts w:ascii="Arial" w:cs="Arial" w:eastAsia="Arial" w:hAnsi="Arial"/>
                <w:i/>
                <w:iCs/>
                <w:color w:val="444444"/>
                <w:sz w:val="19"/>
                <w:szCs w:val="19"/>
              </w:rPr>
              <w:t xml:space="preserve">Socio Fundador — 5%</w:t>
            </w:r>
          </w:p>
          <w:p>
            <w:pPr>
              <w:spacing w:after="0" w:before="0"/>
            </w:pPr>
            <w:r>
              <w:rPr>
                <w:rFonts w:ascii="Arial" w:cs="Arial" w:eastAsia="Arial" w:hAnsi="Arial"/>
                <w:color w:val="888888"/>
                <w:sz w:val="18"/>
                <w:szCs w:val="18"/>
              </w:rPr>
              <w:t xml:space="preserve">C.I.: ___________________________</w:t>
            </w:r>
          </w:p>
        </w:tc>
        <w:tc>
          <w:tcPr>
            <w:tcW w:type="dxa" w:w="380"/>
            <w:tcBorders>
              <w:top w:val="none" w:color="FFFFFF" w:sz="0"/>
              <w:left w:val="none" w:color="FFFFFF" w:sz="0"/>
              <w:bottom w:val="none" w:color="FFFFFF" w:sz="0"/>
              <w:right w:val="none" w:color="FFFFFF" w:sz="0"/>
            </w:tcBorders>
          </w:tcPr>
          <w:p>
            <w:r>
              <w:rPr>
                <w:rFonts w:ascii="Arial" w:cs="Arial" w:eastAsia="Arial" w:hAnsi="Arial"/>
                <w:color w:val="000000"/>
                <w:sz w:val="22"/>
                <w:szCs w:val="22"/>
              </w:rPr>
              <w:t xml:space="preserve"/>
            </w:r>
          </w:p>
        </w:tc>
        <w:tc>
          <w:tcPr>
            <w:tcW w:type="dxa" w:w="4300"/>
            <w:tcBorders>
              <w:top w:val="single" w:color="CCCCCC" w:sz="1"/>
              <w:left w:val="single" w:color="CCCCCC" w:sz="1"/>
              <w:bottom w:val="single" w:color="CCCCCC" w:sz="1"/>
              <w:right w:val="single" w:color="CCCCCC" w:sz="1"/>
            </w:tcBorders>
            <w:tcMar>
              <w:top w:type="dxa" w:w="280"/>
              <w:left w:type="dxa" w:w="200"/>
              <w:bottom w:type="dxa" w:w="80"/>
              <w:right w:type="dxa" w:w="200"/>
            </w:tcMar>
          </w:tcPr>
          <w:p>
            <w:pPr>
              <w:pBdr>
                <w:top w:val="single" w:color="2E75B6" w:sz="4" w:space="2"/>
              </w:pBdr>
              <w:spacing w:after="40" w:before="80"/>
            </w:pPr>
            <w:r>
              <w:rPr>
                <w:rFonts w:ascii="Arial" w:cs="Arial" w:eastAsia="Arial" w:hAnsi="Arial"/>
                <w:b/>
                <w:bCs/>
                <w:color w:val="1F3864"/>
                <w:sz w:val="20"/>
                <w:szCs w:val="20"/>
              </w:rPr>
              <w:t xml:space="preserve">Notario Público Actuante</w:t>
            </w:r>
          </w:p>
          <w:p>
            <w:pPr>
              <w:spacing w:after="20" w:before="0"/>
            </w:pPr>
            <w:r>
              <w:rPr>
                <w:rFonts w:ascii="Arial" w:cs="Arial" w:eastAsia="Arial" w:hAnsi="Arial"/>
                <w:i/>
                <w:iCs/>
                <w:color w:val="444444"/>
                <w:sz w:val="19"/>
                <w:szCs w:val="19"/>
              </w:rPr>
              <w:t xml:space="preserve">Nombre: ___________________   Matrícula: ________</w:t>
            </w:r>
          </w:p>
          <w:p>
            <w:pPr>
              <w:spacing w:after="0" w:before="0"/>
            </w:pPr>
            <w:r>
              <w:rPr>
                <w:rFonts w:ascii="Arial" w:cs="Arial" w:eastAsia="Arial" w:hAnsi="Arial"/>
                <w:color w:val="888888"/>
                <w:sz w:val="18"/>
                <w:szCs w:val="18"/>
              </w:rPr>
              <w:t xml:space="preserve">C.I.: ___________________________</w:t>
            </w:r>
          </w:p>
        </w:tc>
      </w:tr>
    </w:tbl>
    <w:sectPr>
      <w:footerReference w:type="default" r:id="rId7"/>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before="100"/>
      <w:jc w:val="center"/>
    </w:pPr>
    <w:r>
      <w:rPr>
        <w:rFonts w:ascii="Arial" w:cs="Arial" w:eastAsia="Arial" w:hAnsi="Arial"/>
        <w:color w:val="888888"/>
        <w:sz w:val="18"/>
        <w:szCs w:val="18"/>
      </w:rPr>
      <w:t xml:space="preserve">ESTATUTOS SOCIALES — KNINORD, SRL   |   Borrador v1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2026-05-11T20:08:56.844Z</dcterms:created>
  <dcterms:modified xsi:type="dcterms:W3CDTF">2026-05-11T20:08:56.859Z</dcterms:modified>
</cp:coreProperties>
</file>

<file path=docProps/custom.xml><?xml version="1.0" encoding="utf-8"?>
<Properties xmlns="http://schemas.openxmlformats.org/officeDocument/2006/custom-properties" xmlns:vt="http://schemas.openxmlformats.org/officeDocument/2006/docPropsVTypes"/>
</file>