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978765" w14:textId="2D7A62D3" w:rsidR="000405C4" w:rsidRDefault="005B3918">
      <w:pPr>
        <w:ind w:left="720"/>
        <w:jc w:val="center"/>
      </w:pPr>
      <w:r>
        <w:t>UNITED STATES DISTRICT COURT</w:t>
      </w:r>
      <w:r>
        <w:br/>
      </w:r>
      <w:r w:rsidR="00C84B4C">
        <w:t>NORTHERN</w:t>
      </w:r>
      <w:r w:rsidR="00AD0995">
        <w:t xml:space="preserve"> DISTRICT OF </w:t>
      </w:r>
      <w:r w:rsidR="00C84B4C">
        <w:t>GEORGIA</w:t>
      </w:r>
      <w:r>
        <w:br/>
      </w:r>
    </w:p>
    <w:tbl>
      <w:tblPr>
        <w:tblStyle w:val="1"/>
        <w:tblW w:w="9000" w:type="dxa"/>
        <w:tblInd w:w="360" w:type="dxa"/>
        <w:tblLayout w:type="fixed"/>
        <w:tblLook w:val="0400" w:firstRow="0" w:lastRow="0" w:firstColumn="0" w:lastColumn="0" w:noHBand="0" w:noVBand="1"/>
      </w:tblPr>
      <w:tblGrid>
        <w:gridCol w:w="4594"/>
        <w:gridCol w:w="4406"/>
      </w:tblGrid>
      <w:tr w:rsidR="000405C4" w14:paraId="43C3148A" w14:textId="77777777">
        <w:trPr>
          <w:trHeight w:val="4644"/>
        </w:trPr>
        <w:tc>
          <w:tcPr>
            <w:tcW w:w="4594" w:type="dxa"/>
            <w:tcBorders>
              <w:bottom w:val="single" w:sz="8" w:space="0" w:color="000000"/>
              <w:right w:val="single" w:sz="8" w:space="0" w:color="000000"/>
            </w:tcBorders>
          </w:tcPr>
          <w:p w14:paraId="0731E178" w14:textId="70CA75E4" w:rsidR="000405C4" w:rsidRDefault="00DD3C7E">
            <w:pPr>
              <w:tabs>
                <w:tab w:val="left" w:pos="2880"/>
              </w:tabs>
              <w:ind w:left="720"/>
            </w:pPr>
            <w:r>
              <w:t>Craig Jones</w:t>
            </w:r>
          </w:p>
          <w:p w14:paraId="1FA37FC7" w14:textId="77777777" w:rsidR="000405C4" w:rsidRDefault="005B3918">
            <w:pPr>
              <w:tabs>
                <w:tab w:val="left" w:pos="2160"/>
              </w:tabs>
              <w:ind w:left="720"/>
            </w:pPr>
            <w:r>
              <w:tab/>
              <w:t>Plaintiff,</w:t>
            </w:r>
          </w:p>
          <w:p w14:paraId="5E69BE32" w14:textId="77777777" w:rsidR="000405C4" w:rsidRDefault="005B3918">
            <w:pPr>
              <w:ind w:left="720"/>
            </w:pPr>
            <w:r>
              <w:tab/>
              <w:t>v.</w:t>
            </w:r>
          </w:p>
          <w:p w14:paraId="3FB80970" w14:textId="51A01A44" w:rsidR="000405C4" w:rsidRDefault="00A85353">
            <w:pPr>
              <w:tabs>
                <w:tab w:val="left" w:pos="2160"/>
              </w:tabs>
              <w:ind w:left="720"/>
            </w:pPr>
            <w:r>
              <w:t>Credence Resource Management LLC</w:t>
            </w:r>
          </w:p>
        </w:tc>
        <w:tc>
          <w:tcPr>
            <w:tcW w:w="4406" w:type="dxa"/>
          </w:tcPr>
          <w:p w14:paraId="124EF637" w14:textId="77777777" w:rsidR="000405C4" w:rsidRDefault="005B3918">
            <w:pPr>
              <w:tabs>
                <w:tab w:val="left" w:pos="2880"/>
              </w:tabs>
              <w:ind w:left="720"/>
            </w:pPr>
            <w:r>
              <w:t xml:space="preserve">CASE NO. </w:t>
            </w:r>
            <w:r>
              <w:tab/>
            </w:r>
          </w:p>
          <w:p w14:paraId="7A485E5D" w14:textId="77777777" w:rsidR="000405C4" w:rsidRDefault="000405C4">
            <w:pPr>
              <w:tabs>
                <w:tab w:val="left" w:pos="2880"/>
              </w:tabs>
              <w:ind w:left="720"/>
            </w:pPr>
          </w:p>
          <w:p w14:paraId="45591371" w14:textId="77777777" w:rsidR="000405C4" w:rsidRDefault="005B3918">
            <w:pPr>
              <w:ind w:left="720"/>
            </w:pPr>
            <w:r>
              <w:t>Complaint for a civil case</w:t>
            </w:r>
          </w:p>
          <w:p w14:paraId="054BA10F" w14:textId="77777777" w:rsidR="000405C4" w:rsidRDefault="000405C4">
            <w:pPr>
              <w:ind w:left="720"/>
            </w:pPr>
          </w:p>
          <w:p w14:paraId="416E691B" w14:textId="77777777" w:rsidR="000405C4" w:rsidRDefault="005B3918">
            <w:pPr>
              <w:ind w:left="720"/>
            </w:pPr>
            <w:r>
              <w:t xml:space="preserve">Jury Trial:  ☒ Yes   </w:t>
            </w:r>
            <w:proofErr w:type="gramStart"/>
            <w:r>
              <w:t>☐  No</w:t>
            </w:r>
            <w:proofErr w:type="gramEnd"/>
          </w:p>
        </w:tc>
      </w:tr>
    </w:tbl>
    <w:p w14:paraId="2DF7C2E8" w14:textId="77777777" w:rsidR="000405C4" w:rsidRDefault="000405C4">
      <w:pPr>
        <w:ind w:left="720"/>
      </w:pPr>
    </w:p>
    <w:p w14:paraId="544E84B8" w14:textId="77777777" w:rsidR="00194A43" w:rsidRDefault="00194A43" w:rsidP="00194A43">
      <w:pPr>
        <w:jc w:val="center"/>
      </w:pPr>
    </w:p>
    <w:p w14:paraId="63467330" w14:textId="77777777" w:rsidR="00194A43" w:rsidRDefault="00194A43" w:rsidP="00194A43">
      <w:pPr>
        <w:jc w:val="center"/>
        <w:rPr>
          <w:b/>
          <w:bCs/>
          <w:u w:val="single"/>
        </w:rPr>
      </w:pPr>
      <w:r w:rsidRPr="00194A43">
        <w:rPr>
          <w:b/>
          <w:bCs/>
          <w:u w:val="single"/>
        </w:rPr>
        <w:t>Introduction</w:t>
      </w:r>
    </w:p>
    <w:p w14:paraId="575A904E" w14:textId="77777777" w:rsidR="00194A43" w:rsidRDefault="00194A43" w:rsidP="00194A43">
      <w:pPr>
        <w:jc w:val="center"/>
        <w:rPr>
          <w:b/>
          <w:bCs/>
          <w:u w:val="single"/>
        </w:rPr>
      </w:pPr>
    </w:p>
    <w:p w14:paraId="7A82DAE7" w14:textId="77777777" w:rsidR="00194A43" w:rsidRPr="00194A43" w:rsidRDefault="00194A43" w:rsidP="00194A43">
      <w:pPr>
        <w:jc w:val="center"/>
        <w:rPr>
          <w:b/>
          <w:bCs/>
          <w:u w:val="single"/>
        </w:rPr>
      </w:pPr>
    </w:p>
    <w:p w14:paraId="1A4DA055" w14:textId="06E838D4" w:rsidR="00194A43" w:rsidRDefault="00194A43" w:rsidP="00194A43">
      <w:pPr>
        <w:pStyle w:val="Body"/>
      </w:pPr>
      <w:r>
        <w:t xml:space="preserve">1. This is a civil action for actual, statutory damages and cost brought by </w:t>
      </w:r>
      <w:r w:rsidR="00DD3C7E">
        <w:t>Craig Jones</w:t>
      </w:r>
      <w:r>
        <w:t xml:space="preserve"> (“Plaintiff”) an individual consumer, against defendant,</w:t>
      </w:r>
      <w:r w:rsidR="002E3140">
        <w:t xml:space="preserve"> </w:t>
      </w:r>
      <w:r w:rsidR="00DD3C7E">
        <w:t>Credit Collection Services</w:t>
      </w:r>
      <w:r>
        <w:t xml:space="preserve"> (“</w:t>
      </w:r>
      <w:r w:rsidR="00A85353">
        <w:t>CREDENCE</w:t>
      </w:r>
      <w:r>
        <w:t>”) for</w:t>
      </w:r>
      <w:r w:rsidR="002E3140">
        <w:t xml:space="preserve"> violations of the Fair Debt Collection Practices Act, 15 U.S.C § 1692 et seq. (hereinafter “FDCPA”), which prohibits debt collectors from engaging in abusive, deceptive, and unfair </w:t>
      </w:r>
      <w:r w:rsidR="0094405A">
        <w:t>practices</w:t>
      </w:r>
      <w:r w:rsidR="00A85353">
        <w:t xml:space="preserve"> &amp; </w:t>
      </w:r>
      <w:r w:rsidR="00A85353" w:rsidRPr="00A85353">
        <w:t>in violation of the Telephone Consumer Protection Act, 47. U.S.C. § 227 et seq. (“TCPA”),</w:t>
      </w:r>
      <w:r w:rsidR="00A85353">
        <w:t xml:space="preserve"> by </w:t>
      </w:r>
      <w:r w:rsidR="00A85353" w:rsidRPr="00A85353">
        <w:t xml:space="preserve">negligently, knowingly, and/or willfully contacting Plaintiff on Plaintiff’s cellular telephone thereby </w:t>
      </w:r>
      <w:r w:rsidR="00A85353">
        <w:t xml:space="preserve">harassing the Plaintiff and </w:t>
      </w:r>
      <w:r w:rsidR="00A85353" w:rsidRPr="00A85353">
        <w:t xml:space="preserve">invading </w:t>
      </w:r>
      <w:r w:rsidR="00A85353">
        <w:t xml:space="preserve">the </w:t>
      </w:r>
      <w:r w:rsidR="00A85353" w:rsidRPr="00A85353">
        <w:t>Plaintiff’s privacy.</w:t>
      </w:r>
    </w:p>
    <w:p w14:paraId="2E345600" w14:textId="28D40436" w:rsidR="00194A43" w:rsidRPr="00194A43" w:rsidRDefault="00194A43" w:rsidP="00194A43">
      <w:pPr>
        <w:pStyle w:val="Body"/>
        <w:jc w:val="center"/>
        <w:rPr>
          <w:b/>
          <w:bCs/>
          <w:u w:val="single"/>
        </w:rPr>
      </w:pPr>
      <w:r w:rsidRPr="00194A43">
        <w:rPr>
          <w:b/>
          <w:bCs/>
          <w:u w:val="single"/>
        </w:rPr>
        <w:t>Jurisdiction</w:t>
      </w:r>
    </w:p>
    <w:p w14:paraId="3B5E63C6" w14:textId="4CCA41FF" w:rsidR="00194A43" w:rsidRPr="007B7D57" w:rsidRDefault="00194A43" w:rsidP="00A85353">
      <w:pPr>
        <w:pStyle w:val="Body"/>
      </w:pPr>
      <w:r>
        <w:t xml:space="preserve">2. Jurisdiction of this court arises under 15 U.S.C </w:t>
      </w:r>
      <w:r w:rsidRPr="007B7D57">
        <w:t>§</w:t>
      </w:r>
      <w:r>
        <w:t xml:space="preserve"> 1681(P), 15 U.S.C </w:t>
      </w:r>
      <w:r w:rsidRPr="007B7D57">
        <w:t>§</w:t>
      </w:r>
      <w:r>
        <w:t xml:space="preserve"> 1692 K(d)</w:t>
      </w:r>
      <w:r w:rsidR="00A85353">
        <w:t xml:space="preserve">, 47 U.S.C. § 227, 28 </w:t>
      </w:r>
      <w:r>
        <w:t xml:space="preserve">and 28 U.S.C </w:t>
      </w:r>
      <w:r w:rsidRPr="007B7D57">
        <w:t>§</w:t>
      </w:r>
      <w:r>
        <w:t xml:space="preserve"> 1391 </w:t>
      </w:r>
      <w:proofErr w:type="gramStart"/>
      <w:r>
        <w:t>B(</w:t>
      </w:r>
      <w:proofErr w:type="gramEnd"/>
      <w:r>
        <w:t xml:space="preserve">2) because a substantial part of the events, omissions, </w:t>
      </w:r>
      <w:r>
        <w:lastRenderedPageBreak/>
        <w:t>or conduct giving rise to plaintiff claim occurred in this judicial district. Defendant (“</w:t>
      </w:r>
      <w:r w:rsidR="00A85353">
        <w:t>Credence</w:t>
      </w:r>
      <w:r w:rsidR="0094405A">
        <w:t>”</w:t>
      </w:r>
      <w:r>
        <w:t>) transact business in Atlanta, Fulton County, Georgia.</w:t>
      </w:r>
    </w:p>
    <w:p w14:paraId="383F72B6" w14:textId="2CCA5115" w:rsidR="00194A43" w:rsidRPr="007B7D57" w:rsidRDefault="00194A43" w:rsidP="00194A43">
      <w:pPr>
        <w:pStyle w:val="Body"/>
      </w:pPr>
      <w:r>
        <w:t xml:space="preserve">3. The court has supplemental jurisdiction of any state law pursuant to 28 U.S.C </w:t>
      </w:r>
      <w:r w:rsidRPr="007B7D57">
        <w:t>§</w:t>
      </w:r>
      <w:r>
        <w:t xml:space="preserve"> 1367.</w:t>
      </w:r>
    </w:p>
    <w:p w14:paraId="752088E7" w14:textId="77777777" w:rsidR="00194A43" w:rsidRPr="00194A43" w:rsidRDefault="00194A43" w:rsidP="00194A43">
      <w:pPr>
        <w:pStyle w:val="Body"/>
        <w:jc w:val="center"/>
        <w:rPr>
          <w:b/>
          <w:bCs/>
          <w:u w:val="single"/>
        </w:rPr>
      </w:pPr>
      <w:r w:rsidRPr="00194A43">
        <w:rPr>
          <w:b/>
          <w:bCs/>
          <w:u w:val="single"/>
        </w:rPr>
        <w:t>Parties</w:t>
      </w:r>
    </w:p>
    <w:p w14:paraId="7C310F7C" w14:textId="3F41EB4A" w:rsidR="00194A43" w:rsidRDefault="00194A43" w:rsidP="00194A43">
      <w:pPr>
        <w:pStyle w:val="Body"/>
      </w:pPr>
      <w:r>
        <w:t xml:space="preserve">4. Plaintiff, </w:t>
      </w:r>
      <w:r w:rsidR="00DD3C7E">
        <w:t>Craig Jones</w:t>
      </w:r>
      <w:r>
        <w:t xml:space="preserve"> is a natural person and consumer as defined by 15 U.S.C </w:t>
      </w:r>
      <w:r w:rsidRPr="007837D1">
        <w:t>§</w:t>
      </w:r>
      <w:r>
        <w:t xml:space="preserve"> 1681 a(c), residing in </w:t>
      </w:r>
      <w:r w:rsidR="00DD3C7E">
        <w:t>Dekalb</w:t>
      </w:r>
      <w:r>
        <w:t xml:space="preserve"> County, Georgia.</w:t>
      </w:r>
    </w:p>
    <w:p w14:paraId="372A01ED" w14:textId="77777777" w:rsidR="00A85353" w:rsidRDefault="00FF595C" w:rsidP="00FF595C">
      <w:pPr>
        <w:pStyle w:val="Body"/>
      </w:pPr>
      <w:r>
        <w:t xml:space="preserve">5. Upon information and belief, Defendant, </w:t>
      </w:r>
      <w:r w:rsidR="00A85353">
        <w:t>Credence Resource Management LLC</w:t>
      </w:r>
      <w:r>
        <w:t xml:space="preserve"> is a </w:t>
      </w:r>
      <w:r w:rsidR="00A85353">
        <w:t>Nevada</w:t>
      </w:r>
      <w:r w:rsidR="00DD3C7E">
        <w:t xml:space="preserve"> Corporation</w:t>
      </w:r>
      <w:r>
        <w:t xml:space="preserve"> with a principal place of business located at </w:t>
      </w:r>
      <w:r w:rsidR="00A85353" w:rsidRPr="00A85353">
        <w:t>4222 Trinity Mills, Suite 260, Dallas, TX, 75287, USA</w:t>
      </w:r>
      <w:r w:rsidR="00A85353" w:rsidRPr="00A85353">
        <w:tab/>
      </w:r>
    </w:p>
    <w:p w14:paraId="30E7DEB9" w14:textId="3E8EAFB4" w:rsidR="002E3140" w:rsidRDefault="002E3140" w:rsidP="00FF595C">
      <w:pPr>
        <w:pStyle w:val="Body"/>
      </w:pPr>
      <w:r>
        <w:t xml:space="preserve">6. Defendant, </w:t>
      </w:r>
      <w:r w:rsidR="00A85353">
        <w:t>Credence</w:t>
      </w:r>
      <w:r>
        <w:t xml:space="preserve"> has a Registered Agent by the name of </w:t>
      </w:r>
      <w:r w:rsidR="00A85353">
        <w:t>Corporation Service Company</w:t>
      </w:r>
      <w:r>
        <w:t xml:space="preserve"> with a principal place of business located at </w:t>
      </w:r>
      <w:r w:rsidR="00A85353" w:rsidRPr="00A85353">
        <w:t>2 SUN COURT, SUITE 400, PEACHTREE CORNERS, GA, 30092, USA</w:t>
      </w:r>
    </w:p>
    <w:p w14:paraId="08B60B6A" w14:textId="6BF81203" w:rsidR="00FF595C" w:rsidRDefault="0094405A" w:rsidP="00FF595C">
      <w:pPr>
        <w:pStyle w:val="Body"/>
      </w:pPr>
      <w:r>
        <w:t>7</w:t>
      </w:r>
      <w:r w:rsidR="00FF595C">
        <w:t xml:space="preserve">. </w:t>
      </w:r>
      <w:r w:rsidR="002E3140">
        <w:t xml:space="preserve">Defendant </w:t>
      </w:r>
      <w:r w:rsidR="00DD3C7E">
        <w:t>C</w:t>
      </w:r>
      <w:r w:rsidR="00A85353">
        <w:t>redence</w:t>
      </w:r>
      <w:r w:rsidR="002E3140">
        <w:t>, is engaged in the collection of debt from consumers using the mail and telephone. Defendant regularly attempt to collect consumers’ debts alleged to be due to another’s. The alleged debt arose from a financial obligation that was primarily for personal, family or household purposes and is therefore a “debt as that term is defined by 15 U.S.C. §1692</w:t>
      </w:r>
      <w:proofErr w:type="gramStart"/>
      <w:r w:rsidR="002E3140">
        <w:t>a(</w:t>
      </w:r>
      <w:proofErr w:type="gramEnd"/>
      <w:r w:rsidR="002E3140">
        <w:t>5).</w:t>
      </w:r>
    </w:p>
    <w:p w14:paraId="47A1320B" w14:textId="0E09B29B" w:rsidR="00A85353" w:rsidRDefault="0094405A" w:rsidP="00A85353">
      <w:pPr>
        <w:pStyle w:val="Body"/>
      </w:pPr>
      <w:r>
        <w:t>8</w:t>
      </w:r>
      <w:r w:rsidR="00194A43">
        <w:t xml:space="preserve">. The acts as described in this complaint were performed by defendants or on </w:t>
      </w:r>
      <w:r w:rsidR="00FF595C">
        <w:t>defendant’s</w:t>
      </w:r>
      <w:r w:rsidR="00194A43">
        <w:t xml:space="preserve"> behalf by its owners, officers, agents, and/or employees acting within the scope of their actual or apparent authority. As such, all references to “defendant” or their owners, agents, and/or employees.</w:t>
      </w:r>
    </w:p>
    <w:p w14:paraId="30DA5880" w14:textId="533E27B8" w:rsidR="00A85353" w:rsidRDefault="00A85353" w:rsidP="00A85353">
      <w:pPr>
        <w:pStyle w:val="Body"/>
      </w:pPr>
      <w:r>
        <w:t>9</w:t>
      </w:r>
      <w:r w:rsidRPr="00A85353">
        <w:t xml:space="preserve">. At all times relevant to this Complaint, CRM was and is a “person” as defined by 47 U.S.C. § 153(39). </w:t>
      </w:r>
    </w:p>
    <w:p w14:paraId="47160D5A" w14:textId="771EAC00" w:rsidR="00A85353" w:rsidRDefault="00A85353" w:rsidP="00A85353">
      <w:pPr>
        <w:pStyle w:val="Body"/>
      </w:pPr>
      <w:r>
        <w:lastRenderedPageBreak/>
        <w:t>10</w:t>
      </w:r>
      <w:r w:rsidRPr="00A85353">
        <w:t xml:space="preserve">. At all relevant times to this Complaint, </w:t>
      </w:r>
      <w:proofErr w:type="spellStart"/>
      <w:proofErr w:type="gramStart"/>
      <w:r>
        <w:t>Mr.Jones</w:t>
      </w:r>
      <w:proofErr w:type="spellEnd"/>
      <w:proofErr w:type="gramEnd"/>
      <w:r w:rsidRPr="00A85353">
        <w:t xml:space="preserve"> cell phone, the phone number ending in </w:t>
      </w:r>
      <w:r>
        <w:t>3206</w:t>
      </w:r>
      <w:r w:rsidRPr="00A85353">
        <w:t xml:space="preserve">, was and is a number assigned to a cellular telephone service 47 U.S.C. § 227(b)(1)(A)(iii). </w:t>
      </w:r>
    </w:p>
    <w:p w14:paraId="29C13107" w14:textId="2C00AB10" w:rsidR="00A85353" w:rsidRDefault="00A85353" w:rsidP="00A85353">
      <w:pPr>
        <w:pStyle w:val="Body"/>
      </w:pPr>
      <w:r>
        <w:t>11</w:t>
      </w:r>
      <w:r w:rsidRPr="00A85353">
        <w:t xml:space="preserve">. At all times relevant to this Complaint, CRM has owned, operated, and or controlled “customer premises equipment” as defined by the TCPA 47 U.S.C. § 153(16) that originated, routed, and/or terminated telecommunications. </w:t>
      </w:r>
    </w:p>
    <w:p w14:paraId="73A4FC42" w14:textId="42A0178B" w:rsidR="00A85353" w:rsidRDefault="00A85353" w:rsidP="00A85353">
      <w:pPr>
        <w:pStyle w:val="Body"/>
      </w:pPr>
      <w:r>
        <w:t>12</w:t>
      </w:r>
      <w:r w:rsidRPr="00A85353">
        <w:t>. CRM at all times relevant to the Complaint herein engaged in “telecommunications” defined at 47 U.S.C. § 153(50).</w:t>
      </w:r>
    </w:p>
    <w:p w14:paraId="77CF5B13" w14:textId="0BBBEB15" w:rsidR="00A85353" w:rsidRDefault="00A85353" w:rsidP="00A85353">
      <w:pPr>
        <w:pStyle w:val="Body"/>
      </w:pPr>
      <w:r w:rsidRPr="00A85353">
        <w:t xml:space="preserve"> </w:t>
      </w:r>
      <w:r>
        <w:t>13</w:t>
      </w:r>
      <w:r w:rsidRPr="00A85353">
        <w:t xml:space="preserve">. CRM at all times relevant to the Complaint herein engaged in “interstate communications” at 47 U.S.C. § 153(28). </w:t>
      </w:r>
    </w:p>
    <w:p w14:paraId="55655862" w14:textId="2B70B677" w:rsidR="00A85353" w:rsidRDefault="00A85353" w:rsidP="00A85353">
      <w:pPr>
        <w:pStyle w:val="Body"/>
      </w:pPr>
      <w:r>
        <w:t>14</w:t>
      </w:r>
      <w:r w:rsidRPr="00A85353">
        <w:t xml:space="preserve">. At all times relevant to this Complaint, CRM has used, controlled, and/or operated “wire communications” as defined at 47 U.S.C. § 153(59), that existed as instrumentalities of interstate and intrastate commerce. </w:t>
      </w:r>
    </w:p>
    <w:p w14:paraId="48A6491B" w14:textId="20B99FE7" w:rsidR="00A85353" w:rsidRDefault="00A85353" w:rsidP="00A85353">
      <w:pPr>
        <w:pStyle w:val="Body"/>
      </w:pPr>
      <w:r>
        <w:t>15</w:t>
      </w:r>
      <w:r w:rsidRPr="00A85353">
        <w:t>. At all times relevant to this Complaint, CRM has used, controlled, and/or operated “automatic telephone dialing systems” as defined at 47 U.S.C. § 227(a)(1) and 47 C.F.R. 64.1200(f)(2).</w:t>
      </w:r>
    </w:p>
    <w:p w14:paraId="624D2C01" w14:textId="410195EF" w:rsidR="00A85353" w:rsidRDefault="00A85353" w:rsidP="00A85353">
      <w:pPr>
        <w:pStyle w:val="Body"/>
        <w:jc w:val="center"/>
        <w:rPr>
          <w:b/>
          <w:bCs/>
          <w:u w:val="single"/>
        </w:rPr>
      </w:pPr>
      <w:r w:rsidRPr="00A85353">
        <w:rPr>
          <w:b/>
          <w:bCs/>
          <w:u w:val="single"/>
        </w:rPr>
        <w:t>Introduction</w:t>
      </w:r>
    </w:p>
    <w:p w14:paraId="6197DE09" w14:textId="35F2F769" w:rsidR="00A85353" w:rsidRDefault="00F36DF0" w:rsidP="00A85353">
      <w:pPr>
        <w:pStyle w:val="Body"/>
      </w:pPr>
      <w:r>
        <w:t>16</w:t>
      </w:r>
      <w:r w:rsidR="00A85353" w:rsidRPr="00A85353">
        <w:t>. This action arises out of Defendant’s violations of the Telephone Consumer Protection Act (“TCPA”), 47 U.S.C. § 227, the Fair Debt Collection Practices Act (“FDCPA”), 15 U.S.C. § 1692 et seq</w:t>
      </w:r>
    </w:p>
    <w:p w14:paraId="1DFD0A36" w14:textId="556F380B" w:rsidR="00A85353" w:rsidRDefault="00F36DF0" w:rsidP="00A85353">
      <w:pPr>
        <w:pStyle w:val="Body"/>
      </w:pPr>
      <w:r>
        <w:t>17</w:t>
      </w:r>
      <w:r w:rsidR="00A85353" w:rsidRPr="00A85353">
        <w:t xml:space="preserve">. Starting in </w:t>
      </w:r>
      <w:r w:rsidR="00A85353">
        <w:t>or around May 2024</w:t>
      </w:r>
      <w:r w:rsidR="00A85353" w:rsidRPr="00A85353">
        <w:t xml:space="preserve"> Credence Resource Management, LLC (“CRM”) used its automated dialers to harass </w:t>
      </w:r>
      <w:proofErr w:type="spellStart"/>
      <w:proofErr w:type="gramStart"/>
      <w:r w:rsidR="00A85353">
        <w:t>Mr.Jones</w:t>
      </w:r>
      <w:proofErr w:type="spellEnd"/>
      <w:proofErr w:type="gramEnd"/>
      <w:r w:rsidR="00A85353" w:rsidRPr="00A85353">
        <w:t xml:space="preserve"> with collection calls to her cell phone to collect on bills allegedly owed to CRM by another person. CRM used automated telephone dialing systems </w:t>
      </w:r>
      <w:r w:rsidR="00A85353" w:rsidRPr="00A85353">
        <w:lastRenderedPageBreak/>
        <w:t xml:space="preserve">to place its calls. </w:t>
      </w:r>
      <w:r w:rsidR="00A85353">
        <w:t xml:space="preserve">The </w:t>
      </w:r>
      <w:r w:rsidR="00A85353" w:rsidRPr="00A85353">
        <w:t xml:space="preserve">use of this technology in the placement of calls to </w:t>
      </w:r>
      <w:r w:rsidR="00A85353">
        <w:t>the plaintiff</w:t>
      </w:r>
      <w:r w:rsidR="00A85353" w:rsidRPr="00A85353">
        <w:t xml:space="preserve"> was in violation of the TCPA.</w:t>
      </w:r>
    </w:p>
    <w:p w14:paraId="588B1D65" w14:textId="7DDEDB6C" w:rsidR="00A85353" w:rsidRDefault="00F36DF0" w:rsidP="00A85353">
      <w:pPr>
        <w:pStyle w:val="Body"/>
      </w:pPr>
      <w:r>
        <w:t>18</w:t>
      </w:r>
      <w:r w:rsidR="00A85353">
        <w:t>. The TCPA was enacted to prevent companies like CREDENCE from invading American citizen’s privacy and prevent abusive “</w:t>
      </w:r>
      <w:proofErr w:type="spellStart"/>
      <w:r w:rsidR="00A85353">
        <w:t>robo</w:t>
      </w:r>
      <w:proofErr w:type="spellEnd"/>
      <w:r w:rsidR="00A85353">
        <w:t xml:space="preserve">-calls.” </w:t>
      </w:r>
    </w:p>
    <w:p w14:paraId="3D47F195" w14:textId="15206D35" w:rsidR="00A85353" w:rsidRDefault="00F36DF0" w:rsidP="00A85353">
      <w:pPr>
        <w:pStyle w:val="Body"/>
      </w:pPr>
      <w:r>
        <w:t>19</w:t>
      </w:r>
      <w:r w:rsidR="00A85353">
        <w:t xml:space="preserve">. “The TCPA is designed to protect individual consumers from receiving intrusive and unwanted telephone calls.” Mims v. Arrow Fin. Servs., LLC, -US--, 132 </w:t>
      </w:r>
      <w:proofErr w:type="spellStart"/>
      <w:r w:rsidR="00A85353">
        <w:t>S.Ct</w:t>
      </w:r>
      <w:proofErr w:type="spellEnd"/>
      <w:r w:rsidR="00A85353">
        <w:t xml:space="preserve">., 740, 745, 181, </w:t>
      </w:r>
      <w:proofErr w:type="spellStart"/>
      <w:r w:rsidR="00A85353">
        <w:t>L.Ed</w:t>
      </w:r>
      <w:proofErr w:type="spellEnd"/>
      <w:r w:rsidR="00A85353">
        <w:t>. 2d 881 (2012).</w:t>
      </w:r>
    </w:p>
    <w:p w14:paraId="2317C4A5" w14:textId="7C618355" w:rsidR="00A85353" w:rsidRDefault="00F36DF0" w:rsidP="00A85353">
      <w:pPr>
        <w:pStyle w:val="Body"/>
      </w:pPr>
      <w:r>
        <w:t>20</w:t>
      </w:r>
      <w:r w:rsidR="00A85353" w:rsidRPr="00A85353">
        <w:t xml:space="preserve">. The FDCPA was, in part, enacted to address invasions of individual privacy caused by abusive debt collection practices. 15 U.S.C. § 1692(a). </w:t>
      </w:r>
    </w:p>
    <w:p w14:paraId="0B339B79" w14:textId="4A83CB6F" w:rsidR="00A85353" w:rsidRDefault="00F36DF0" w:rsidP="00A85353">
      <w:pPr>
        <w:pStyle w:val="Body"/>
      </w:pPr>
      <w:r>
        <w:t>21</w:t>
      </w:r>
      <w:r w:rsidR="00A85353" w:rsidRPr="00A85353">
        <w:t xml:space="preserve">. “If the FDCPA makes one thing clear, it is that debt collectors must be circumspect in the way they choose to communicate with debtors. This is a highly regulated industry, and strict compliance is the order of the day.” </w:t>
      </w:r>
      <w:proofErr w:type="spellStart"/>
      <w:r w:rsidR="00A85353" w:rsidRPr="00A85353">
        <w:t>Thompke</w:t>
      </w:r>
      <w:proofErr w:type="spellEnd"/>
      <w:r w:rsidR="00A85353" w:rsidRPr="00A85353">
        <w:t xml:space="preserve"> v Fabrizio &amp; Brook, PC, 261 F Supp 3d 798 (E.D. Mich, 2017). </w:t>
      </w:r>
    </w:p>
    <w:p w14:paraId="2E34A337" w14:textId="76FE132F" w:rsidR="00A85353" w:rsidRDefault="00F36DF0" w:rsidP="00A85353">
      <w:pPr>
        <w:pStyle w:val="Body"/>
      </w:pPr>
      <w:r>
        <w:t>22</w:t>
      </w:r>
      <w:r w:rsidR="00A85353" w:rsidRPr="00A85353">
        <w:t xml:space="preserve">. </w:t>
      </w:r>
      <w:r w:rsidR="00A85353">
        <w:t xml:space="preserve">The Plaintiff </w:t>
      </w:r>
      <w:r w:rsidR="00A85353" w:rsidRPr="00A85353">
        <w:t>brings this action to enforce the TCPA’s strict limits on calls placed through automated telephone dialing systems (“ATDS”). Plaintiff seeks statutorily-authorized damages of $</w:t>
      </w:r>
      <w:r w:rsidR="00A85353">
        <w:t>1500</w:t>
      </w:r>
      <w:r w:rsidR="00A85353" w:rsidRPr="00A85353">
        <w:t xml:space="preserve"> per illegal call, as well as injunctive relief requiring Defendant to comply with the law.</w:t>
      </w:r>
    </w:p>
    <w:p w14:paraId="24006586" w14:textId="77777777" w:rsidR="00194A43" w:rsidRPr="00194A43" w:rsidRDefault="00194A43" w:rsidP="00194A43">
      <w:pPr>
        <w:pStyle w:val="Body"/>
        <w:jc w:val="center"/>
        <w:rPr>
          <w:b/>
          <w:bCs/>
          <w:u w:val="single"/>
        </w:rPr>
      </w:pPr>
      <w:r w:rsidRPr="00194A43">
        <w:rPr>
          <w:b/>
          <w:bCs/>
          <w:u w:val="single"/>
        </w:rPr>
        <w:t>Factual Allegations</w:t>
      </w:r>
    </w:p>
    <w:p w14:paraId="42ABFA2A" w14:textId="65EAB607" w:rsidR="00194A43" w:rsidRDefault="00F36DF0" w:rsidP="00194A43">
      <w:pPr>
        <w:pStyle w:val="Body"/>
      </w:pPr>
      <w:r>
        <w:t>23</w:t>
      </w:r>
      <w:r w:rsidR="00194A43">
        <w:t xml:space="preserve">. </w:t>
      </w:r>
      <w:r w:rsidR="002E3140">
        <w:t xml:space="preserve">Defendant </w:t>
      </w:r>
      <w:r w:rsidR="00A85353">
        <w:t>Credence Resource Management LLC</w:t>
      </w:r>
      <w:r w:rsidR="002E3140">
        <w:t>., (hereinafter referred to as “Debt Collector”) is a “debt collector” as defined by the FDCPA, 15 U.S.C 1692</w:t>
      </w:r>
      <w:proofErr w:type="gramStart"/>
      <w:r w:rsidR="002E3140">
        <w:t>a(</w:t>
      </w:r>
      <w:proofErr w:type="gramEnd"/>
      <w:r w:rsidR="002E3140">
        <w:t>6)</w:t>
      </w:r>
    </w:p>
    <w:p w14:paraId="7FF5DC52" w14:textId="1298222F" w:rsidR="00A85353" w:rsidRDefault="00F36DF0" w:rsidP="00A85353">
      <w:pPr>
        <w:pStyle w:val="Body"/>
      </w:pPr>
      <w:r>
        <w:t>24</w:t>
      </w:r>
      <w:r w:rsidR="00194A43">
        <w:t xml:space="preserve">. </w:t>
      </w:r>
      <w:r w:rsidR="002B30F3">
        <w:t xml:space="preserve">On or about </w:t>
      </w:r>
      <w:r w:rsidR="00A85353">
        <w:t>May</w:t>
      </w:r>
      <w:r w:rsidR="00E51BE3">
        <w:t>,</w:t>
      </w:r>
      <w:r w:rsidR="002B30F3">
        <w:t xml:space="preserve"> 202</w:t>
      </w:r>
      <w:r w:rsidR="00A85353">
        <w:t>4</w:t>
      </w:r>
      <w:r w:rsidR="002B30F3">
        <w:t xml:space="preserve">, Mr. </w:t>
      </w:r>
      <w:r w:rsidR="00DD3C7E">
        <w:t>Jones</w:t>
      </w:r>
      <w:r w:rsidR="002B30F3">
        <w:t xml:space="preserve"> </w:t>
      </w:r>
      <w:r w:rsidR="00DD3C7E">
        <w:t>notices that</w:t>
      </w:r>
      <w:r w:rsidR="00A85353">
        <w:t xml:space="preserve"> someone from the number 833-584-1363 was calling him every day at or around 11:50 am </w:t>
      </w:r>
      <w:proofErr w:type="spellStart"/>
      <w:r w:rsidR="00A85353">
        <w:t>est</w:t>
      </w:r>
      <w:proofErr w:type="spellEnd"/>
      <w:r w:rsidR="00A85353">
        <w:t xml:space="preserve"> time. The plaintiff came to learn that this number was from Credence Resource Management in an attempt to collect an alleged debt from Pendrick Capital Partners LLC. </w:t>
      </w:r>
    </w:p>
    <w:p w14:paraId="5E67DC07" w14:textId="322CA355" w:rsidR="00A85353" w:rsidRDefault="00F36DF0" w:rsidP="00194A43">
      <w:pPr>
        <w:pStyle w:val="Body"/>
      </w:pPr>
      <w:r>
        <w:lastRenderedPageBreak/>
        <w:t>25</w:t>
      </w:r>
      <w:r w:rsidR="00A85353">
        <w:t>. On or around June 12</w:t>
      </w:r>
      <w:r w:rsidR="00A85353" w:rsidRPr="00A85353">
        <w:rPr>
          <w:vertAlign w:val="superscript"/>
        </w:rPr>
        <w:t>th</w:t>
      </w:r>
      <w:r w:rsidR="00A85353">
        <w:t xml:space="preserve"> 2024 the Plaintiff sent an email communication to Credence stating that he refused to pay the debt pursuant to 15 U.S.C 1692c(c).</w:t>
      </w:r>
    </w:p>
    <w:p w14:paraId="21B44DE2" w14:textId="4BF40E8C" w:rsidR="00194A43" w:rsidRDefault="00F36DF0" w:rsidP="00194A43">
      <w:pPr>
        <w:pStyle w:val="Body"/>
      </w:pPr>
      <w:r>
        <w:t>26</w:t>
      </w:r>
      <w:r w:rsidR="00194A43">
        <w:t xml:space="preserve">. </w:t>
      </w:r>
      <w:r w:rsidR="00A85353">
        <w:t>Credence continued to call the Plaintiff in an attempt to collect the debt on June 13</w:t>
      </w:r>
      <w:r w:rsidR="00A85353" w:rsidRPr="00A85353">
        <w:rPr>
          <w:vertAlign w:val="superscript"/>
        </w:rPr>
        <w:t>th</w:t>
      </w:r>
      <w:r w:rsidR="00A85353">
        <w:t xml:space="preserve"> 2024 and June 14</w:t>
      </w:r>
      <w:r w:rsidR="00A85353" w:rsidRPr="00A85353">
        <w:rPr>
          <w:vertAlign w:val="superscript"/>
        </w:rPr>
        <w:t>th</w:t>
      </w:r>
      <w:r w:rsidR="00A85353">
        <w:t xml:space="preserve"> 2024 which was in violation of 15 U.S.C 1692c(c). </w:t>
      </w:r>
    </w:p>
    <w:p w14:paraId="6BFCF5ED" w14:textId="2D6B61FD" w:rsidR="00194A43" w:rsidRDefault="00F36DF0" w:rsidP="00194A43">
      <w:pPr>
        <w:pStyle w:val="Body"/>
      </w:pPr>
      <w:r>
        <w:t>27</w:t>
      </w:r>
      <w:r w:rsidR="00194A43">
        <w:t xml:space="preserve">. </w:t>
      </w:r>
      <w:r w:rsidR="00A85353">
        <w:t>On or around June 14</w:t>
      </w:r>
      <w:r w:rsidR="00A85353" w:rsidRPr="00A85353">
        <w:rPr>
          <w:vertAlign w:val="superscript"/>
        </w:rPr>
        <w:t>th</w:t>
      </w:r>
      <w:r w:rsidR="00A85353">
        <w:t xml:space="preserve"> the defendant sent an email to the Plaintiff stating that they had sent the account back to Pendrick Capital Partners LLC. However, after receiving this email the defendant continued to call the Plaintiff using an automatic dialer at or around the same time continuously attempting to collect on a debt that they had expressed was no longer in their possession to the plaintiff.</w:t>
      </w:r>
    </w:p>
    <w:p w14:paraId="3625B58A" w14:textId="3F7FEBD2" w:rsidR="00A85353" w:rsidRDefault="00F36DF0" w:rsidP="00194A43">
      <w:pPr>
        <w:pStyle w:val="Body"/>
      </w:pPr>
      <w:r>
        <w:t>28</w:t>
      </w:r>
      <w:r w:rsidR="00A85353">
        <w:t>. On or around July 5</w:t>
      </w:r>
      <w:r w:rsidR="00A85353" w:rsidRPr="00A85353">
        <w:rPr>
          <w:vertAlign w:val="superscript"/>
        </w:rPr>
        <w:t>th</w:t>
      </w:r>
      <w:r w:rsidR="00A85353">
        <w:t xml:space="preserve">, the defendant received another alleged debt that they were trying to collect from the Plaintiff from an alleged debt they claimed the Plaintiff owed to </w:t>
      </w:r>
      <w:proofErr w:type="spellStart"/>
      <w:r w:rsidR="00A85353">
        <w:t>Tmobile</w:t>
      </w:r>
      <w:proofErr w:type="spellEnd"/>
      <w:r w:rsidR="00A85353">
        <w:t>.</w:t>
      </w:r>
    </w:p>
    <w:p w14:paraId="73D6D01B" w14:textId="49D198BF" w:rsidR="00A85353" w:rsidRDefault="00F36DF0" w:rsidP="00194A43">
      <w:pPr>
        <w:pStyle w:val="Body"/>
      </w:pPr>
      <w:r>
        <w:t>29</w:t>
      </w:r>
      <w:r w:rsidR="00A85353">
        <w:t>. On or around July 8</w:t>
      </w:r>
      <w:r w:rsidR="00A85353" w:rsidRPr="00A85353">
        <w:rPr>
          <w:vertAlign w:val="superscript"/>
        </w:rPr>
        <w:t>th</w:t>
      </w:r>
      <w:r w:rsidR="00A85353">
        <w:t xml:space="preserve"> the Plaintiff sent another refusal to pay to the defendant activating a cease and desist pursuant to 15 U.S.C 1692c(c). </w:t>
      </w:r>
    </w:p>
    <w:p w14:paraId="18A87912" w14:textId="343E0437" w:rsidR="00A85353" w:rsidRDefault="00F36DF0" w:rsidP="00194A43">
      <w:pPr>
        <w:pStyle w:val="Body"/>
      </w:pPr>
      <w:r>
        <w:t>30</w:t>
      </w:r>
      <w:r w:rsidR="00A85353">
        <w:t>. Despite receiving this email, the defendant again called the Plaintiff on July 9</w:t>
      </w:r>
      <w:r w:rsidR="00A85353" w:rsidRPr="00A85353">
        <w:rPr>
          <w:vertAlign w:val="superscript"/>
        </w:rPr>
        <w:t>th</w:t>
      </w:r>
      <w:r w:rsidR="00A85353">
        <w:t xml:space="preserve">, 2024 attempting to collect the alleged debt which was a violation of 15 U.S.C 1692c(c). </w:t>
      </w:r>
    </w:p>
    <w:p w14:paraId="2D8A19F6" w14:textId="5FB1F3B2" w:rsidR="00A85353" w:rsidRDefault="00F36DF0" w:rsidP="00194A43">
      <w:pPr>
        <w:pStyle w:val="Body"/>
      </w:pPr>
      <w:r>
        <w:t>31</w:t>
      </w:r>
      <w:r w:rsidR="00A85353">
        <w:t xml:space="preserve">. Defendant knowingly and/or willfully harassed and abused Plaintiff on numerous occasions by calling Plaintiff’s cellular telephone number numerous times from approximately May 2024 through the filing of this complaint, with such frequency as can reasonably be expected to harass, all in an effort related to the collection of the subject account. </w:t>
      </w:r>
    </w:p>
    <w:p w14:paraId="76DF0398" w14:textId="6C9AEFCC" w:rsidR="00A85353" w:rsidRDefault="00F36DF0" w:rsidP="00194A43">
      <w:pPr>
        <w:pStyle w:val="Body"/>
      </w:pPr>
      <w:r>
        <w:t>32</w:t>
      </w:r>
      <w:r w:rsidR="00A85353">
        <w:t xml:space="preserve">. Upon information and belief, some or all of the calls the Defendant made to Plaintiff’s cellular telephone number were made using an “automatic telephone dialing system” which has the capacity to store or produce telephone numbers to be called, using a random or sequential number generator (including but not limited to a predictive dialer) or an artificial or </w:t>
      </w:r>
      <w:r w:rsidR="00A85353">
        <w:lastRenderedPageBreak/>
        <w:t xml:space="preserve">prerecorded voice; and to dial such numbers as specified by 47 U.S.C § 227(a)(1) (hereinafter “auto dialer calls”). </w:t>
      </w:r>
    </w:p>
    <w:p w14:paraId="7A842E9B" w14:textId="233DE5B5" w:rsidR="00A85353" w:rsidRDefault="00F36DF0" w:rsidP="00194A43">
      <w:pPr>
        <w:pStyle w:val="Body"/>
      </w:pPr>
      <w:r>
        <w:t>33</w:t>
      </w:r>
      <w:r w:rsidR="00A85353">
        <w:t xml:space="preserve">. Furthermore, each of the calls at issue were placed by the Defendant using a “prerecorded voice,” as specified by the TCPA, 47 U.S.C. § 227(b)(1)(A). </w:t>
      </w:r>
    </w:p>
    <w:p w14:paraId="4E0458A1" w14:textId="69973AF4" w:rsidR="00A85353" w:rsidRDefault="00F36DF0" w:rsidP="00194A43">
      <w:pPr>
        <w:pStyle w:val="Body"/>
      </w:pPr>
      <w:r>
        <w:t>34</w:t>
      </w:r>
      <w:r w:rsidR="00A85353">
        <w:t xml:space="preserve">. Plaintiff is the subscriber, regular user and carrier of the cellular telephone number, (770) ***-3206, and was the called party and recipient of Defendant’s auto dialer calls. </w:t>
      </w:r>
    </w:p>
    <w:p w14:paraId="20F4DB7B" w14:textId="47DD3329" w:rsidR="00A85353" w:rsidRDefault="00F36DF0" w:rsidP="00194A43">
      <w:pPr>
        <w:pStyle w:val="Body"/>
      </w:pPr>
      <w:r>
        <w:t>35</w:t>
      </w:r>
      <w:r w:rsidR="00A85353">
        <w:t>. The auto dialer calls from Defendant came from the telephone number including but not limited to 833-584-1363 and when the Plaintiff called back that number, an automated voice answers and identifies itself as “Thank you for calling Credence Resource Management.”</w:t>
      </w:r>
    </w:p>
    <w:p w14:paraId="3829EEBD" w14:textId="7CE231F2" w:rsidR="00A85353" w:rsidRDefault="00A85353" w:rsidP="00194A43">
      <w:pPr>
        <w:pStyle w:val="Body"/>
      </w:pPr>
      <w:r>
        <w:t xml:space="preserve"> </w:t>
      </w:r>
      <w:r w:rsidR="00F36DF0">
        <w:t>36</w:t>
      </w:r>
      <w:r>
        <w:t xml:space="preserve">. Despite Plaintiff informing Defendant to cease communication, the Defendant’s auto dialer calls to Plaintiff’s cellular phone continued. Due to the tremendous volume of calls, Plaintiff was not able </w:t>
      </w:r>
      <w:r w:rsidRPr="00A85353">
        <w:t xml:space="preserve">to keep track of each one, however, a partial list of the dates that Plaintiff received automated calls from Defendant after </w:t>
      </w:r>
      <w:r w:rsidR="00D6121B">
        <w:t>June 12</w:t>
      </w:r>
      <w:r w:rsidR="00D6121B" w:rsidRPr="00D6121B">
        <w:rPr>
          <w:vertAlign w:val="superscript"/>
        </w:rPr>
        <w:t>th</w:t>
      </w:r>
      <w:r w:rsidR="00D6121B">
        <w:t xml:space="preserve"> 2024</w:t>
      </w:r>
      <w:r w:rsidRPr="00A85353">
        <w:t xml:space="preserve"> is listed below: Plaintiff received at least 40 calls during this time.</w:t>
      </w:r>
    </w:p>
    <w:p w14:paraId="734E8D60" w14:textId="4051C875" w:rsidR="00A85353" w:rsidRDefault="00F36DF0" w:rsidP="00194A43">
      <w:pPr>
        <w:pStyle w:val="Body"/>
      </w:pPr>
      <w:r>
        <w:t>37</w:t>
      </w:r>
      <w:r w:rsidR="00A85353">
        <w:t>. The auto dialer calls from Defendant continued from May 2024, through the filing of this complaint. Defendant has, or should be in possession and/or control of call logs, account notes, auto dialer reports and/or other records that detail the exact number of all auto dialer calls made to Plaintiff.</w:t>
      </w:r>
    </w:p>
    <w:p w14:paraId="36C2C447" w14:textId="6174D971" w:rsidR="00A85353" w:rsidRDefault="00A85353" w:rsidP="00194A43">
      <w:pPr>
        <w:pStyle w:val="Body"/>
      </w:pPr>
      <w:r>
        <w:t xml:space="preserve"> </w:t>
      </w:r>
      <w:r w:rsidR="00F36DF0">
        <w:t>38</w:t>
      </w:r>
      <w:r>
        <w:t xml:space="preserve">. The Defendant has a corporate policy to use an automatic telephone dialing system or a pre-recorded or artificial voice, and to make auto dialer calls just as they did to Plaintiff’s cellular telephone in this case, with no way for the called party and recipient of the calls, or the Defendant, to permit the removal of the incorrect number. </w:t>
      </w:r>
    </w:p>
    <w:p w14:paraId="536335BB" w14:textId="10D4C89C" w:rsidR="00A85353" w:rsidRDefault="00F36DF0" w:rsidP="00194A43">
      <w:pPr>
        <w:pStyle w:val="Body"/>
      </w:pPr>
      <w:r>
        <w:lastRenderedPageBreak/>
        <w:t>39</w:t>
      </w:r>
      <w:r w:rsidR="00A85353">
        <w:t xml:space="preserve">. Despite actual knowledge of their wrongdoing, the Defendant continued the campaign of auto dialer calls, well-beyond June 2024, when Plaintiff first advised Defendant to cease communication. </w:t>
      </w:r>
    </w:p>
    <w:p w14:paraId="6BBF24E6" w14:textId="764DE047" w:rsidR="00A85353" w:rsidRDefault="00F36DF0" w:rsidP="00194A43">
      <w:pPr>
        <w:pStyle w:val="Body"/>
      </w:pPr>
      <w:r>
        <w:t>40</w:t>
      </w:r>
      <w:r w:rsidR="00A85353">
        <w:t>. Defendant’s corporate policy is structured as to continue to call individuals like the Plaintiff, despite the individual, like Plaintiff, advising Defendant to cease communication.</w:t>
      </w:r>
    </w:p>
    <w:p w14:paraId="66304825" w14:textId="77777777" w:rsidR="00A85353" w:rsidRDefault="00A85353" w:rsidP="00194A43">
      <w:pPr>
        <w:pStyle w:val="Body"/>
      </w:pPr>
      <w:r>
        <w:t xml:space="preserve">30. Defendant’s corporate policy provided no means for the Plaintiff to have her cellular number removed from the call list, or otherwise permit the cessation of and/or suppression of calls to Plaintiff. </w:t>
      </w:r>
    </w:p>
    <w:p w14:paraId="163A5BB5" w14:textId="4AA30790" w:rsidR="00D6121B" w:rsidRDefault="00D6121B" w:rsidP="00194A43">
      <w:pPr>
        <w:pStyle w:val="Body"/>
      </w:pPr>
      <w:r>
        <w:t>5. Upon information and belief, Defendant knew that its calling techniques were in violation of the TCPA, yet Defendant still continued to use them in willful or knowing violation of the TCPA.</w:t>
      </w:r>
    </w:p>
    <w:p w14:paraId="22058D17" w14:textId="763ED273" w:rsidR="00D6121B" w:rsidRDefault="00A85353" w:rsidP="00D6121B">
      <w:pPr>
        <w:pStyle w:val="Body"/>
      </w:pPr>
      <w:r>
        <w:t xml:space="preserve">31. Defendant has numerous other federal lawsuits pending, settled and ruled in favor of the Plaintiff against them alleging similar violations </w:t>
      </w:r>
      <w:r w:rsidR="00D6121B">
        <w:t xml:space="preserve">under the TCPA and the FDCPA </w:t>
      </w:r>
      <w:r>
        <w:t>as stated in this complaint.</w:t>
      </w:r>
    </w:p>
    <w:p w14:paraId="3900E3B3" w14:textId="77777777" w:rsidR="00A85353" w:rsidRDefault="00A85353" w:rsidP="00194A43">
      <w:pPr>
        <w:pStyle w:val="Body"/>
      </w:pPr>
      <w:r>
        <w:t xml:space="preserve"> 32. Defendant has numerous complaints against them across the country asserting that their automatic telephone dialing system continues to call people who have revoked consent to be called. </w:t>
      </w:r>
    </w:p>
    <w:p w14:paraId="34A9901A" w14:textId="0C5192AC" w:rsidR="00A85353" w:rsidRDefault="00A85353" w:rsidP="00194A43">
      <w:pPr>
        <w:pStyle w:val="Body"/>
      </w:pPr>
      <w:r>
        <w:t>33. Defendant knowingly employed methods and/or has a corporate policy designed to harass and abuse individuals and has set up their auto dialer in a manner which makes it virtually impossible for the auto dialer calls to stop.</w:t>
      </w:r>
    </w:p>
    <w:p w14:paraId="4E995DF9" w14:textId="41A6A8E4" w:rsidR="00A85353" w:rsidRDefault="00A85353" w:rsidP="00194A43">
      <w:pPr>
        <w:pStyle w:val="Body"/>
      </w:pPr>
      <w:r>
        <w:t xml:space="preserve"> 34. Defendant knowingly employed methods that did not permit the cessation of or suppression of auto dialer calls to Plaintiff’s cellular telephone.</w:t>
      </w:r>
    </w:p>
    <w:p w14:paraId="26266CA0" w14:textId="77777777" w:rsidR="00A85353" w:rsidRDefault="00A85353" w:rsidP="00194A43">
      <w:pPr>
        <w:pStyle w:val="Body"/>
      </w:pPr>
      <w:r>
        <w:t>68. Credence’s placement of telephone calls to Plaintiff’s cellular telephone were unsolicited and incessant.</w:t>
      </w:r>
    </w:p>
    <w:p w14:paraId="5150307E" w14:textId="36756A90" w:rsidR="00A85353" w:rsidRDefault="00A85353" w:rsidP="00194A43">
      <w:pPr>
        <w:pStyle w:val="Body"/>
      </w:pPr>
      <w:r>
        <w:lastRenderedPageBreak/>
        <w:t xml:space="preserve"> 69. Plaintiff never consented to receive telephone calls to his cellular phone from the defendant. </w:t>
      </w:r>
    </w:p>
    <w:p w14:paraId="32245E63" w14:textId="723FF16A" w:rsidR="00D6121B" w:rsidRDefault="00D6121B" w:rsidP="00194A43">
      <w:pPr>
        <w:pStyle w:val="Body"/>
      </w:pPr>
      <w:r>
        <w:t>74. None of Credence’s telephone calls placed to Plaintiff were for “emergency purposes” as specified in 47 U.S.C. §227(b)(1)(A).</w:t>
      </w:r>
    </w:p>
    <w:p w14:paraId="17B52DF4" w14:textId="5640B23D" w:rsidR="00A85353" w:rsidRDefault="00A85353" w:rsidP="00A85353">
      <w:pPr>
        <w:pStyle w:val="Body"/>
        <w:ind w:left="720" w:firstLine="60"/>
      </w:pPr>
      <w:r>
        <w:t xml:space="preserve">71. Additionally, Plaintiff repeatedly instructed Credence that he refused to pay any debts they had on file and Credence was to cease any form of communication with the Plaintiff. </w:t>
      </w:r>
    </w:p>
    <w:p w14:paraId="38D2F511" w14:textId="1B11421F" w:rsidR="00D6121B" w:rsidRDefault="00D6121B" w:rsidP="00D6121B">
      <w:pPr>
        <w:pStyle w:val="Body"/>
        <w:ind w:left="720" w:firstLine="60"/>
      </w:pPr>
      <w:r>
        <w:t>72. Credence ignored and, in some instances, expressly refused to comply with Plaintiff’s repeated demands.</w:t>
      </w:r>
    </w:p>
    <w:p w14:paraId="62736F58" w14:textId="0A03358C" w:rsidR="00194A43" w:rsidRDefault="00194A43" w:rsidP="00194A43">
      <w:pPr>
        <w:pStyle w:val="Body"/>
      </w:pPr>
      <w:r>
        <w:t>1</w:t>
      </w:r>
      <w:r w:rsidR="0094405A">
        <w:t>3</w:t>
      </w:r>
      <w:r>
        <w:t>. Plaintiff has the interest and right to be free from deceptive, misleading collection efforts.</w:t>
      </w:r>
    </w:p>
    <w:p w14:paraId="018372B1" w14:textId="7CB29DE8" w:rsidR="00194A43" w:rsidRDefault="00194A43" w:rsidP="00194A43">
      <w:pPr>
        <w:pStyle w:val="Body"/>
      </w:pPr>
      <w:r>
        <w:t>1</w:t>
      </w:r>
      <w:r w:rsidR="0094405A">
        <w:t>4</w:t>
      </w:r>
      <w:r>
        <w:t xml:space="preserve">. Plaintiff has the interest and right to privacy from individuals </w:t>
      </w:r>
      <w:r w:rsidR="0094405A">
        <w:t xml:space="preserve">harassing him in an attempt to collect a debt after the Plaintiff has invoked his rights by notifying the debt collector that he refuses to pay the debt. </w:t>
      </w:r>
    </w:p>
    <w:p w14:paraId="55846A45" w14:textId="7D0550CA" w:rsidR="00E51BE3" w:rsidRDefault="00E51BE3" w:rsidP="00194A43">
      <w:pPr>
        <w:pStyle w:val="Body"/>
      </w:pPr>
      <w:r>
        <w:t>1</w:t>
      </w:r>
      <w:r w:rsidR="0094405A">
        <w:t>5</w:t>
      </w:r>
      <w:r>
        <w:t xml:space="preserve">. Plaintiff has the interest and right to be free from harassment due to debt collectors trying to collect on an “alleged” debt. </w:t>
      </w:r>
    </w:p>
    <w:p w14:paraId="2AD39D1C" w14:textId="58C4676F" w:rsidR="00194A43" w:rsidRDefault="00194A43" w:rsidP="00194A43">
      <w:pPr>
        <w:pStyle w:val="Body"/>
      </w:pPr>
      <w:r>
        <w:t xml:space="preserve">16. Plaintiff’s injury is “particularized” and “actual” in that the conduct that deprived plaintiff of their rights was directed by Defendant to plaintiff specifically. </w:t>
      </w:r>
    </w:p>
    <w:p w14:paraId="0B70B33F" w14:textId="069DE6ED" w:rsidR="00D6121B" w:rsidRDefault="00194A43" w:rsidP="00D6121B">
      <w:pPr>
        <w:pStyle w:val="Body"/>
      </w:pPr>
      <w:r>
        <w:t xml:space="preserve">17. Plaintiff’s injury is directly traceable to Defendants conduct because if it wasn’t for the Defendants conducts, Plaintiff would not have been deprived of his rights. </w:t>
      </w:r>
    </w:p>
    <w:p w14:paraId="31794097" w14:textId="0A297E60" w:rsidR="00194A43" w:rsidRDefault="00194A43" w:rsidP="00194A43">
      <w:pPr>
        <w:pStyle w:val="Body"/>
      </w:pPr>
      <w:r>
        <w:t>1</w:t>
      </w:r>
      <w:r w:rsidR="0094405A">
        <w:t>8</w:t>
      </w:r>
      <w:r>
        <w:t xml:space="preserve">. Defendant, </w:t>
      </w:r>
      <w:r w:rsidR="00A85353">
        <w:t>Credence</w:t>
      </w:r>
      <w:r>
        <w:t>, caused the Plaintiff emotional distress, mental anguish, Loss of time</w:t>
      </w:r>
      <w:r w:rsidR="009210FE">
        <w:t xml:space="preserve"> due to learning how to defend himself against the Defendant</w:t>
      </w:r>
      <w:r>
        <w:t>,</w:t>
      </w:r>
      <w:r w:rsidR="009210FE">
        <w:t xml:space="preserve"> invasion of privacy, anxiety due to efforts to try and collect this “alleged debt without regard for the law, fear </w:t>
      </w:r>
      <w:r w:rsidR="0094405A">
        <w:t xml:space="preserve">due to </w:t>
      </w:r>
      <w:r w:rsidR="0094405A">
        <w:lastRenderedPageBreak/>
        <w:t>harassment</w:t>
      </w:r>
      <w:r w:rsidR="00A85353">
        <w:t xml:space="preserve"> from the many unwanted calls</w:t>
      </w:r>
      <w:r w:rsidR="0094405A">
        <w:t xml:space="preserve"> </w:t>
      </w:r>
      <w:r w:rsidR="009210FE">
        <w:t>which has led to sleepless nights,</w:t>
      </w:r>
      <w:r>
        <w:t xml:space="preserve"> and psychological harm. </w:t>
      </w:r>
    </w:p>
    <w:p w14:paraId="13AFB3A7" w14:textId="6F808216" w:rsidR="00194A43" w:rsidRDefault="0094405A" w:rsidP="00194A43">
      <w:pPr>
        <w:pStyle w:val="Body"/>
      </w:pPr>
      <w:r>
        <w:t>19</w:t>
      </w:r>
      <w:r w:rsidR="00194A43">
        <w:t xml:space="preserve">. The Plaintiff request that defendant compensate him for damages due to the </w:t>
      </w:r>
      <w:r>
        <w:t xml:space="preserve">FDCPA </w:t>
      </w:r>
      <w:r w:rsidR="00194A43">
        <w:t xml:space="preserve">violation(s) under 15 USC </w:t>
      </w:r>
      <w:r w:rsidR="00194A43" w:rsidRPr="003931E0">
        <w:t>§</w:t>
      </w:r>
      <w:r w:rsidR="00194A43">
        <w:t xml:space="preserve"> 16</w:t>
      </w:r>
      <w:r>
        <w:t>92k.</w:t>
      </w:r>
    </w:p>
    <w:p w14:paraId="571A4355" w14:textId="53349F03" w:rsidR="00194A43" w:rsidRDefault="00194A43" w:rsidP="00194A43">
      <w:pPr>
        <w:pStyle w:val="Body"/>
      </w:pPr>
      <w:r>
        <w:t>2</w:t>
      </w:r>
      <w:r w:rsidR="0094405A">
        <w:t>0</w:t>
      </w:r>
      <w:r>
        <w:t xml:space="preserve">. Plaintiff justifiably fears that, absent this court’s intervention, Defendant </w:t>
      </w:r>
      <w:r w:rsidR="00A85353">
        <w:t>Credence</w:t>
      </w:r>
      <w:r>
        <w:t xml:space="preserve"> will continue to use abusive, deceptive, unfair, and unlawful means in its attempts to collect alleged debts.</w:t>
      </w:r>
    </w:p>
    <w:p w14:paraId="0488551D" w14:textId="587D9873" w:rsidR="00194A43" w:rsidRDefault="00194A43" w:rsidP="00194A43">
      <w:pPr>
        <w:pStyle w:val="Body"/>
      </w:pPr>
      <w:r>
        <w:t>2</w:t>
      </w:r>
      <w:r w:rsidR="0094405A">
        <w:t>1</w:t>
      </w:r>
      <w:r>
        <w:t xml:space="preserve">. The deprivation of Plaintiff’s rights will be redressed by a favorable decision herein. </w:t>
      </w:r>
    </w:p>
    <w:p w14:paraId="7D35ED3B" w14:textId="06F3645C" w:rsidR="00194A43" w:rsidRDefault="00194A43" w:rsidP="00194A43">
      <w:pPr>
        <w:pStyle w:val="Body"/>
      </w:pPr>
      <w:r>
        <w:t>2</w:t>
      </w:r>
      <w:r w:rsidR="0094405A">
        <w:t>2</w:t>
      </w:r>
      <w:r>
        <w:t xml:space="preserve">. A favorable decision herein would redress Plaintiffs injury with money damages. </w:t>
      </w:r>
    </w:p>
    <w:p w14:paraId="18DAFD60" w14:textId="25406C6D" w:rsidR="00194A43" w:rsidRDefault="00194A43" w:rsidP="00194A43">
      <w:pPr>
        <w:pStyle w:val="Body"/>
      </w:pPr>
      <w:r>
        <w:t>2</w:t>
      </w:r>
      <w:r w:rsidR="0094405A">
        <w:t>3</w:t>
      </w:r>
      <w:r>
        <w:t xml:space="preserve">. A favorable decision herein would server to defer Defendant from further similar conduct. </w:t>
      </w:r>
    </w:p>
    <w:p w14:paraId="243718FA" w14:textId="1A9385C4" w:rsidR="00194A43" w:rsidRDefault="00194A43" w:rsidP="00194A43">
      <w:pPr>
        <w:pStyle w:val="Body"/>
        <w:jc w:val="center"/>
        <w:rPr>
          <w:b/>
          <w:bCs/>
          <w:u w:val="single"/>
        </w:rPr>
      </w:pPr>
      <w:r w:rsidRPr="00194A43">
        <w:rPr>
          <w:b/>
          <w:bCs/>
          <w:u w:val="single"/>
        </w:rPr>
        <w:t xml:space="preserve">Count 1 Violation of the Fair </w:t>
      </w:r>
      <w:r w:rsidR="0094405A">
        <w:rPr>
          <w:b/>
          <w:bCs/>
          <w:u w:val="single"/>
        </w:rPr>
        <w:t>Debt Collection Practices Act</w:t>
      </w:r>
    </w:p>
    <w:p w14:paraId="3C7B80BA" w14:textId="5DEC64E0" w:rsidR="0094405A" w:rsidRPr="00194A43" w:rsidRDefault="0094405A" w:rsidP="00194A43">
      <w:pPr>
        <w:pStyle w:val="Body"/>
        <w:jc w:val="center"/>
        <w:rPr>
          <w:b/>
          <w:bCs/>
          <w:u w:val="single"/>
        </w:rPr>
      </w:pPr>
      <w:r>
        <w:rPr>
          <w:b/>
          <w:bCs/>
          <w:u w:val="single"/>
        </w:rPr>
        <w:t>(</w:t>
      </w:r>
      <w:r w:rsidR="00A85353">
        <w:rPr>
          <w:b/>
          <w:bCs/>
          <w:u w:val="single"/>
        </w:rPr>
        <w:t>CREDENCE RESOURCE MANAGEMENT LLC</w:t>
      </w:r>
      <w:r>
        <w:rPr>
          <w:b/>
          <w:bCs/>
          <w:u w:val="single"/>
        </w:rPr>
        <w:t>)</w:t>
      </w:r>
    </w:p>
    <w:p w14:paraId="70C60523" w14:textId="157F21AD" w:rsidR="00194A43" w:rsidRDefault="00194A43" w:rsidP="00194A43">
      <w:pPr>
        <w:pStyle w:val="Body"/>
      </w:pPr>
      <w:r>
        <w:t>2</w:t>
      </w:r>
      <w:r w:rsidR="0094405A">
        <w:t>4</w:t>
      </w:r>
      <w:r>
        <w:t>. Plaintiff reincorporates by referencing all the preceding paragraphs.</w:t>
      </w:r>
    </w:p>
    <w:p w14:paraId="6EEDFEA4" w14:textId="50E6D504" w:rsidR="0094405A" w:rsidRDefault="0094405A" w:rsidP="0094405A">
      <w:pPr>
        <w:pStyle w:val="Body"/>
      </w:pPr>
      <w:r>
        <w:t>25. According to 15 U.S.C 1692c(c) Ceasing communication</w:t>
      </w:r>
    </w:p>
    <w:p w14:paraId="3B4EB9DD" w14:textId="77777777" w:rsidR="0094405A" w:rsidRDefault="0094405A" w:rsidP="0094405A">
      <w:pPr>
        <w:pStyle w:val="Body"/>
      </w:pPr>
      <w:r>
        <w:t>If a consumer notifies a debt collector in writing that the consumer refuses to pay a debt or that the consumer wishes the debt collector to cease further communication with the consumer, the debt collector shall not communicate further with the consumer with respect to such debt, except—</w:t>
      </w:r>
    </w:p>
    <w:p w14:paraId="563D167F" w14:textId="77777777" w:rsidR="0094405A" w:rsidRDefault="0094405A" w:rsidP="0094405A">
      <w:pPr>
        <w:pStyle w:val="Body"/>
      </w:pPr>
      <w:r>
        <w:t>(</w:t>
      </w:r>
      <w:proofErr w:type="gramStart"/>
      <w:r>
        <w:t>1)to</w:t>
      </w:r>
      <w:proofErr w:type="gramEnd"/>
      <w:r>
        <w:t xml:space="preserve"> advise the consumer that the debt collector’s further efforts are being terminated;</w:t>
      </w:r>
    </w:p>
    <w:p w14:paraId="0094DD5C" w14:textId="77777777" w:rsidR="0094405A" w:rsidRDefault="0094405A" w:rsidP="0094405A">
      <w:pPr>
        <w:pStyle w:val="Body"/>
      </w:pPr>
      <w:r>
        <w:t>(</w:t>
      </w:r>
      <w:proofErr w:type="gramStart"/>
      <w:r>
        <w:t>2)to</w:t>
      </w:r>
      <w:proofErr w:type="gramEnd"/>
      <w:r>
        <w:t xml:space="preserve"> notify the consumer that the debt collector or creditor may invoke specified remedies which are ordinarily invoked by such debt collector or creditor; or</w:t>
      </w:r>
    </w:p>
    <w:p w14:paraId="7EB3840E" w14:textId="69FCB004" w:rsidR="0094405A" w:rsidRDefault="0094405A" w:rsidP="0094405A">
      <w:pPr>
        <w:pStyle w:val="Body"/>
      </w:pPr>
      <w:r>
        <w:t>(</w:t>
      </w:r>
      <w:proofErr w:type="gramStart"/>
      <w:r>
        <w:t>3)where</w:t>
      </w:r>
      <w:proofErr w:type="gramEnd"/>
      <w:r>
        <w:t xml:space="preserve"> applicable, to notify the consumer that the debt collector or creditor intends to invoke a specified remedy.</w:t>
      </w:r>
    </w:p>
    <w:p w14:paraId="4D3FA83D" w14:textId="17BCF7AB" w:rsidR="00A85353" w:rsidRDefault="00A85353" w:rsidP="0094405A">
      <w:pPr>
        <w:pStyle w:val="Body"/>
      </w:pPr>
      <w:r>
        <w:lastRenderedPageBreak/>
        <w:t xml:space="preserve">26. Furthermore, according to 15 U.S.C 1692d(6) </w:t>
      </w:r>
      <w:r w:rsidRPr="00A85353">
        <w:t>A </w:t>
      </w:r>
      <w:hyperlink r:id="rId9" w:history="1">
        <w:r w:rsidRPr="00A85353">
          <w:rPr>
            <w:rStyle w:val="Hyperlink"/>
          </w:rPr>
          <w:t>debt</w:t>
        </w:r>
      </w:hyperlink>
      <w:r w:rsidRPr="00A85353">
        <w:t> collector may not engage in any conduct the natural consequence of which is to harass, oppress, or abuse any person in connection with the collection of a </w:t>
      </w:r>
      <w:hyperlink r:id="rId10" w:history="1">
        <w:r w:rsidRPr="00A85353">
          <w:rPr>
            <w:rStyle w:val="Hyperlink"/>
          </w:rPr>
          <w:t>debt</w:t>
        </w:r>
      </w:hyperlink>
      <w:r w:rsidRPr="00A85353">
        <w:t>. Without limiting the general application of the foregoing, the following conduct is a violation of this section:</w:t>
      </w:r>
      <w:r>
        <w:t xml:space="preserve"> </w:t>
      </w:r>
      <w:r w:rsidRPr="00A85353">
        <w:t>(</w:t>
      </w:r>
      <w:proofErr w:type="gramStart"/>
      <w:r w:rsidRPr="00A85353">
        <w:t>5)Causing</w:t>
      </w:r>
      <w:proofErr w:type="gramEnd"/>
      <w:r w:rsidRPr="00A85353">
        <w:t xml:space="preserve"> a telephone to ring or engaging any person in telephone conversation repeatedly or continuously with intent to annoy, abuse, or harass any person at the called number.</w:t>
      </w:r>
    </w:p>
    <w:p w14:paraId="77BFF324" w14:textId="01C8AF81" w:rsidR="00194A43" w:rsidRDefault="00194A43" w:rsidP="00194A43">
      <w:pPr>
        <w:pStyle w:val="Body"/>
      </w:pPr>
      <w:r>
        <w:t>2</w:t>
      </w:r>
      <w:r w:rsidR="0094405A">
        <w:t>6</w:t>
      </w:r>
      <w:r>
        <w:t xml:space="preserve">. Defendant, </w:t>
      </w:r>
      <w:r w:rsidR="00A85353">
        <w:t>CREDENCE</w:t>
      </w:r>
      <w:r w:rsidR="00851623">
        <w:t xml:space="preserve"> Corporation</w:t>
      </w:r>
      <w:r>
        <w:t xml:space="preserve">, violated the Fair </w:t>
      </w:r>
      <w:r w:rsidR="0094405A">
        <w:t>Debt Collection Practices</w:t>
      </w:r>
      <w:r>
        <w:t xml:space="preserve"> Act as follows:</w:t>
      </w:r>
    </w:p>
    <w:p w14:paraId="351A9551" w14:textId="6A63D2FF" w:rsidR="00194A43" w:rsidRDefault="0094405A" w:rsidP="00194A43">
      <w:pPr>
        <w:pStyle w:val="Body"/>
      </w:pPr>
      <w:r>
        <w:t>27</w:t>
      </w:r>
      <w:r w:rsidR="00194A43">
        <w:t xml:space="preserve">. </w:t>
      </w:r>
      <w:r w:rsidR="00851623">
        <w:t>The Debt Collector’s violations include, but are not limited to, the following: The Debt Collector violated 15 U.S.C § 1692c(c) of the FDCPA by failing to cease collection after receiving written notice</w:t>
      </w:r>
      <w:r>
        <w:t xml:space="preserve"> that the plaintiff refuses to pay the debt</w:t>
      </w:r>
      <w:r w:rsidR="00851623">
        <w:t>.</w:t>
      </w:r>
    </w:p>
    <w:p w14:paraId="05D3248E" w14:textId="714DC9C2" w:rsidR="00A85353" w:rsidRDefault="00A85353" w:rsidP="00194A43">
      <w:pPr>
        <w:pStyle w:val="Body"/>
      </w:pPr>
      <w:r>
        <w:t>28. The Plaintiff communicated to the defendant on June 12</w:t>
      </w:r>
      <w:r w:rsidRPr="00A85353">
        <w:rPr>
          <w:vertAlign w:val="superscript"/>
        </w:rPr>
        <w:t>th</w:t>
      </w:r>
      <w:r>
        <w:t xml:space="preserve"> 2024 that he refused to pay the debt yet the defendant continuously called the Plaintiff trying to collect on the debt. </w:t>
      </w:r>
      <w:proofErr w:type="gramStart"/>
      <w:r>
        <w:t>Furthermore</w:t>
      </w:r>
      <w:proofErr w:type="gramEnd"/>
      <w:r>
        <w:t xml:space="preserve"> the Plaintiff sent another communication to the Plaintiff on July 8</w:t>
      </w:r>
      <w:r w:rsidRPr="00A85353">
        <w:rPr>
          <w:vertAlign w:val="superscript"/>
        </w:rPr>
        <w:t>th</w:t>
      </w:r>
      <w:r>
        <w:t xml:space="preserve"> 2024 refusing to pay the debt that they alleged the Plaintiff had from T-Mobile yet even after receiving the email, the defendant continued to call the Plaintiff to collect on a debt. </w:t>
      </w:r>
    </w:p>
    <w:p w14:paraId="1823495C" w14:textId="223AC61F" w:rsidR="00A85353" w:rsidRDefault="00A85353" w:rsidP="00194A43">
      <w:pPr>
        <w:pStyle w:val="Body"/>
      </w:pPr>
      <w:r>
        <w:t>28. Credence is in violation of 15 U.S.C 1692</w:t>
      </w:r>
      <w:proofErr w:type="gramStart"/>
      <w:r>
        <w:t>d(</w:t>
      </w:r>
      <w:proofErr w:type="gramEnd"/>
      <w:r>
        <w:t xml:space="preserve">5) by continuously causing the Plaintiff’s phone to ring with the intent to harass the Plaintiff in attempt to collect a debt. </w:t>
      </w:r>
    </w:p>
    <w:p w14:paraId="12557C9E" w14:textId="5D0F981C" w:rsidR="00851623" w:rsidRDefault="0094405A" w:rsidP="00194A43">
      <w:pPr>
        <w:pStyle w:val="Body"/>
      </w:pPr>
      <w:r>
        <w:t>28</w:t>
      </w:r>
      <w:r w:rsidR="00851623">
        <w:t>.</w:t>
      </w:r>
      <w:r w:rsidR="00851623" w:rsidRPr="00851623">
        <w:t xml:space="preserve"> </w:t>
      </w:r>
      <w:r w:rsidR="00851623">
        <w:t>As a result of the above violations of the FDCPA, Defendant are liable to the Mr. Pickett for the following:</w:t>
      </w:r>
    </w:p>
    <w:p w14:paraId="1D6C6F0A" w14:textId="77777777" w:rsidR="00851623" w:rsidRDefault="00851623" w:rsidP="00194A43">
      <w:pPr>
        <w:pStyle w:val="Body"/>
      </w:pPr>
      <w:r>
        <w:t>A. Judgment for the violations occurred for violating the FDCPA;</w:t>
      </w:r>
    </w:p>
    <w:p w14:paraId="069F124B" w14:textId="77777777" w:rsidR="00851623" w:rsidRDefault="00851623" w:rsidP="00194A43">
      <w:pPr>
        <w:pStyle w:val="Body"/>
      </w:pPr>
      <w:r>
        <w:t xml:space="preserve"> B. Actual damages pursuant to 15 </w:t>
      </w:r>
      <w:proofErr w:type="gramStart"/>
      <w:r>
        <w:t>U.S,C</w:t>
      </w:r>
      <w:proofErr w:type="gramEnd"/>
      <w:r>
        <w:t xml:space="preserve"> 1692k(1)(2);</w:t>
      </w:r>
    </w:p>
    <w:p w14:paraId="10622BA0" w14:textId="77777777" w:rsidR="00851623" w:rsidRDefault="00851623" w:rsidP="00194A43">
      <w:pPr>
        <w:pStyle w:val="Body"/>
      </w:pPr>
      <w:r>
        <w:t xml:space="preserve"> C. Statutory damages pursuant to 15 U.S.C 1692</w:t>
      </w:r>
      <w:proofErr w:type="gramStart"/>
      <w:r>
        <w:t>k(</w:t>
      </w:r>
      <w:proofErr w:type="gramEnd"/>
      <w:r>
        <w:t>2);</w:t>
      </w:r>
    </w:p>
    <w:p w14:paraId="7154E942" w14:textId="1F8D722F" w:rsidR="00851623" w:rsidRDefault="00851623" w:rsidP="00194A43">
      <w:pPr>
        <w:pStyle w:val="Body"/>
      </w:pPr>
      <w:r>
        <w:lastRenderedPageBreak/>
        <w:t xml:space="preserve"> D. Cost pursuant to 15 U.S.C 1692</w:t>
      </w:r>
      <w:proofErr w:type="gramStart"/>
      <w:r>
        <w:t>k(</w:t>
      </w:r>
      <w:proofErr w:type="gramEnd"/>
      <w:r>
        <w:t>3); E. For such other and further relief as the Court may deem just and proper.</w:t>
      </w:r>
    </w:p>
    <w:p w14:paraId="502A2C4A" w14:textId="7CF1ED2B" w:rsidR="00A85353" w:rsidRPr="00A85353" w:rsidRDefault="00A85353" w:rsidP="00A85353">
      <w:pPr>
        <w:pStyle w:val="Body"/>
        <w:jc w:val="center"/>
        <w:rPr>
          <w:b/>
          <w:bCs/>
          <w:u w:val="single"/>
        </w:rPr>
      </w:pPr>
      <w:r w:rsidRPr="00A85353">
        <w:rPr>
          <w:b/>
          <w:bCs/>
          <w:u w:val="single"/>
        </w:rPr>
        <w:t>COUNT I- VIOLATION OF THE TCPA, 47 U.S.C § 227(b)(1)(A)(iii) AGAINST CREDENCE</w:t>
      </w:r>
    </w:p>
    <w:p w14:paraId="241C446F" w14:textId="77777777" w:rsidR="00A85353" w:rsidRDefault="00A85353" w:rsidP="00194A43">
      <w:pPr>
        <w:pStyle w:val="Body"/>
      </w:pPr>
      <w:r>
        <w:t xml:space="preserve">76. Plaintiff repeats, realleges and incorporates by reference herein paragraphs </w:t>
      </w:r>
    </w:p>
    <w:p w14:paraId="444F89B6" w14:textId="77777777" w:rsidR="00A85353" w:rsidRDefault="00A85353" w:rsidP="00194A43">
      <w:pPr>
        <w:pStyle w:val="Body"/>
      </w:pPr>
      <w:r>
        <w:t xml:space="preserve">77. Credence placed many non-emergency calls, including but not limited to the calls referenced above, to Plaintiff’s cellular telephone using an automatic telephone dialing system in violation of 47 U.S.C § 227(b)(1)(A)(iii). </w:t>
      </w:r>
    </w:p>
    <w:p w14:paraId="01B3BD20" w14:textId="77777777" w:rsidR="00A85353" w:rsidRDefault="00A85353" w:rsidP="00194A43">
      <w:pPr>
        <w:pStyle w:val="Body"/>
      </w:pPr>
      <w:r>
        <w:t xml:space="preserve">78. It is a violation of the TCPA, 47 U.S.C. § 227(b) to call a person’s cellular telephone by using an automatic telephone dialing system or prerecorded message without that person’s prior express consent. </w:t>
      </w:r>
    </w:p>
    <w:p w14:paraId="42FC10DD" w14:textId="7CCC0D9B" w:rsidR="00A85353" w:rsidRDefault="00A85353" w:rsidP="00194A43">
      <w:pPr>
        <w:pStyle w:val="Body"/>
      </w:pPr>
      <w:r>
        <w:t xml:space="preserve">79. Upon information and belief, the aforesaid calls to Plaintiff’s cellular telephone were placed using an automated telephone dialing system and/or employed a prerecorded voice message. These calls bore telltale signs of an automation, such as a prerecorded message or a noticeable gap between picking up the call and a human being coming on the line. </w:t>
      </w:r>
      <w:proofErr w:type="gramStart"/>
      <w:r>
        <w:t>Furthermore</w:t>
      </w:r>
      <w:proofErr w:type="gramEnd"/>
      <w:r>
        <w:t xml:space="preserve"> when the Plaintiff tried to call back the number, he was greeted with an automated pre-recorded message. </w:t>
      </w:r>
    </w:p>
    <w:p w14:paraId="2BB205FA" w14:textId="196D5242" w:rsidR="00A85353" w:rsidRDefault="00A85353" w:rsidP="00194A43">
      <w:pPr>
        <w:pStyle w:val="Body"/>
      </w:pPr>
      <w:r>
        <w:t xml:space="preserve">80.  According to findings by the Federal Communication Commission (“FCC”), the agency Congress vested with authority to issued regulations implementing the TCPA, such calls as those alleged herein are prohibited because, as Congress found, automated or prerecorded telephone calls are a greater nuisance and invasion of privacy, and such calls can be costly and inconvenient. Rules and Regulations Implementing the Telephone Consumer Protection Act of 1991, CG Docket No. 02-278, Report and Order, 18 FCC </w:t>
      </w:r>
      <w:proofErr w:type="spellStart"/>
      <w:r>
        <w:t>Rcd</w:t>
      </w:r>
      <w:proofErr w:type="spellEnd"/>
      <w:r>
        <w:t xml:space="preserve"> 14014 (2003).</w:t>
      </w:r>
    </w:p>
    <w:p w14:paraId="3F512C75" w14:textId="282356C7" w:rsidR="00A85353" w:rsidRDefault="00A85353" w:rsidP="00194A43">
      <w:pPr>
        <w:pStyle w:val="Body"/>
      </w:pPr>
      <w:r>
        <w:lastRenderedPageBreak/>
        <w:t xml:space="preserve">81. Credence’s method of contacting Plaintiff is indicative of its ability to dial numbers without any human intervention in the calling process, which the FCC has opined is the hallmark of an automatic telephone dialing system (i.e. auto-dialer). See In the Matter of Rules &amp; Regulations Implementing </w:t>
      </w:r>
      <w:proofErr w:type="gramStart"/>
      <w:r>
        <w:t>The</w:t>
      </w:r>
      <w:proofErr w:type="gramEnd"/>
      <w:r>
        <w:t xml:space="preserve"> Telephone Consumer Protection Act of 2008, CG Docket No. 02- 278, FCC 07-232 (1/4/08) ¶¶ 11–13; In the Matter of Rules &amp; Regulations Implementing the Telephone Consumer Protection Act of 1991, 2003 WL 21517583, 18 F.C.C.R. 14014, ¶ 132 (Fed. Commc’n </w:t>
      </w:r>
      <w:proofErr w:type="spellStart"/>
      <w:r>
        <w:t>Cmm’n</w:t>
      </w:r>
      <w:proofErr w:type="spellEnd"/>
      <w:r>
        <w:t xml:space="preserve"> July 3, 2003). </w:t>
      </w:r>
    </w:p>
    <w:p w14:paraId="2810C5D2" w14:textId="20E2FEAE" w:rsidR="00A85353" w:rsidRDefault="00A85353" w:rsidP="00194A43">
      <w:pPr>
        <w:pStyle w:val="Body"/>
      </w:pPr>
      <w:r>
        <w:t>82. Under the TCPA, and pursuant to the FCC’s January 2008 Declaratory Ruling, the burden is on Defendant to demonstrate that Plaintiff provided express consent within the meaning of the statute. See FCC Declaratory Ruling, 23 F.C.C.R. at 565 (¶ 10).</w:t>
      </w:r>
    </w:p>
    <w:p w14:paraId="3D529EDC" w14:textId="56193FD3" w:rsidR="00A85353" w:rsidRDefault="00A85353" w:rsidP="00194A43">
      <w:pPr>
        <w:pStyle w:val="Body"/>
      </w:pPr>
      <w:r>
        <w:t xml:space="preserve">37. Defendant violated the TCPA, with respect to all of its auto dialer calls made to Plaintiff’s cellular telephone number without Plaintiff’s express consent. </w:t>
      </w:r>
    </w:p>
    <w:p w14:paraId="4F58F101" w14:textId="575BC103" w:rsidR="00A85353" w:rsidRDefault="00A85353" w:rsidP="00194A43">
      <w:pPr>
        <w:pStyle w:val="Body"/>
      </w:pPr>
      <w:r>
        <w:t>38. The Defendant willfully and/or knowingly violated the TCPA, especially for each of the auto dialer calls made to Plaintiff’s cellular telephone after Plaintiff notified Defendant on or about June 12</w:t>
      </w:r>
      <w:r w:rsidRPr="00A85353">
        <w:rPr>
          <w:vertAlign w:val="superscript"/>
        </w:rPr>
        <w:t>th</w:t>
      </w:r>
      <w:r>
        <w:t xml:space="preserve"> 2024, when Plaintiff informed the defendant that he refused to pay any debts the defendant has and to cease all forms of communication with him.</w:t>
      </w:r>
    </w:p>
    <w:p w14:paraId="1020D104" w14:textId="25A53E6F" w:rsidR="00A85353" w:rsidRDefault="00A85353" w:rsidP="00194A43">
      <w:pPr>
        <w:pStyle w:val="Body"/>
      </w:pPr>
      <w:r>
        <w:t>39. Defendant repeatedly placed non-emergency telephone calls to Plaintiff’s cellular telephone using an automatic telephone dialing system or prerecorded or artificial voice without Plaintiff’s prior express consent in violation of federal law, including 47 U.S.C § 227(b)(1)(A)(iii).</w:t>
      </w:r>
    </w:p>
    <w:p w14:paraId="11B04FDC" w14:textId="77777777" w:rsidR="00A85353" w:rsidRDefault="00A85353" w:rsidP="00194A43">
      <w:pPr>
        <w:pStyle w:val="Body"/>
      </w:pPr>
      <w:r>
        <w:t xml:space="preserve">86. Credence, through its agents, representatives and/or employees acting within the scope of their authority, acted willfully and therefore intentionally violated the TCPA, 47 U.S.C § 227 (b)(1)(A)(iii). Pursuant to the FCC’s interpretation regarding willfulness, “willful or knowing” requires merely that “the violator knew that he was doing the act in question. . .  A </w:t>
      </w:r>
      <w:r>
        <w:lastRenderedPageBreak/>
        <w:t xml:space="preserve">violator need not know that his action or inaction constitutes a violation.” In re Dynasty Mortg., L.L.C., 22 Case 0:21-cv-60328-RAR </w:t>
      </w:r>
    </w:p>
    <w:p w14:paraId="420CB2C2" w14:textId="77777777" w:rsidR="00A85353" w:rsidRDefault="00A85353" w:rsidP="00194A43">
      <w:pPr>
        <w:pStyle w:val="Body"/>
      </w:pPr>
      <w:r>
        <w:t xml:space="preserve">87. Congress enacted the TCPA to prevent real harm. Congress found that “automated or pre-recorded calls are a nuisance and an invasion of privacy, regardless of the type of call” and decided that “banning” such calls made without consent was “the only effective means of protecting telephone consumers from this nuisance and privacy invasion.” Pub. L. No. 102-243, §§ 2(10–13) (Dec. 20, 1991), codified at 47 U.S.C. § 227. See also Mims v. Arrow Fin. Servs., L.L.C., 132 S. Ct. 740, 744, 181 L. Ed. 2d 881 (2012) (“The Act bans certain practices invasive of privacy”). </w:t>
      </w:r>
    </w:p>
    <w:p w14:paraId="06627B55" w14:textId="77777777" w:rsidR="00A85353" w:rsidRDefault="00A85353" w:rsidP="00194A43">
      <w:pPr>
        <w:pStyle w:val="Body"/>
      </w:pPr>
      <w:r>
        <w:t xml:space="preserve">89. Credence’s phone calls harmed Plaintiff by causing the very harm that Congress sought to prevent—a “nuisance and invasion of privacy.” </w:t>
      </w:r>
    </w:p>
    <w:p w14:paraId="3D0724BD" w14:textId="302478BE" w:rsidR="00A85353" w:rsidRDefault="00A85353" w:rsidP="00194A43">
      <w:pPr>
        <w:pStyle w:val="Body"/>
      </w:pPr>
      <w:r>
        <w:t>90. Credence’s phone calls also harmed Plaintiff by (1) trespassing upon and interfering with Plaintiff’s rights and interests in access to his cellular telephone and telephone line; (2) intruding upon Plaintiff’s seclusion and privacy; (3) wasting Plaintiff’s time and mental energy; (4) depleting the battery life on Plaintiff’s cellular telephone; (5) using memory storage space in Plaintiff’s cellular telephone; and (6) causing Plaintiff aggravation, indignation, humiliation, embarrassment, anxiety, anguish, depression, unwarranted stress and loss of enjoyment of life. 91. As a result of Credence’s violations of 47 U.S.C. § 227 et seq, Plaintiff is entitled to an award of $1,500.00 in statutory damages, for each and every willful or knowing violation, pursuant to 47 U.S.C. § 227(b)(3)(C).</w:t>
      </w:r>
    </w:p>
    <w:p w14:paraId="3CD7557E" w14:textId="39BA5978" w:rsidR="00A85353" w:rsidRDefault="00A85353" w:rsidP="00194A43">
      <w:pPr>
        <w:pStyle w:val="Body"/>
      </w:pPr>
      <w:r>
        <w:t>92. Plaintiff is also entitled to injunctive relief prohibiting Credence from contacting the Plaintiff on his cellular phone using an automated dialing system pursuant to the 47 U.S.C. § 227(b)(3)(a).</w:t>
      </w:r>
    </w:p>
    <w:p w14:paraId="3E66451C" w14:textId="77777777" w:rsidR="00194A43" w:rsidRPr="00C84B4C" w:rsidRDefault="00194A43" w:rsidP="00194A43">
      <w:pPr>
        <w:ind w:left="360"/>
        <w:jc w:val="center"/>
        <w:rPr>
          <w:b/>
          <w:bCs/>
          <w:u w:val="single"/>
        </w:rPr>
      </w:pPr>
      <w:r w:rsidRPr="00C84B4C">
        <w:rPr>
          <w:b/>
          <w:bCs/>
          <w:u w:val="single"/>
        </w:rPr>
        <w:t xml:space="preserve">Jury Demand and Prayer </w:t>
      </w:r>
      <w:proofErr w:type="gramStart"/>
      <w:r w:rsidRPr="00C84B4C">
        <w:rPr>
          <w:b/>
          <w:bCs/>
          <w:u w:val="single"/>
        </w:rPr>
        <w:t>For</w:t>
      </w:r>
      <w:proofErr w:type="gramEnd"/>
      <w:r w:rsidRPr="00C84B4C">
        <w:rPr>
          <w:b/>
          <w:bCs/>
          <w:u w:val="single"/>
        </w:rPr>
        <w:t xml:space="preserve"> Relief</w:t>
      </w:r>
    </w:p>
    <w:p w14:paraId="4AC0EA98" w14:textId="77777777" w:rsidR="00C84B4C" w:rsidRDefault="00C84B4C" w:rsidP="00194A43">
      <w:pPr>
        <w:ind w:left="360"/>
        <w:jc w:val="center"/>
        <w:rPr>
          <w:b/>
          <w:bCs/>
        </w:rPr>
      </w:pPr>
    </w:p>
    <w:p w14:paraId="747613CB" w14:textId="59814F83" w:rsidR="00194A43" w:rsidRDefault="00194A43" w:rsidP="00194A43">
      <w:pPr>
        <w:ind w:left="360"/>
      </w:pPr>
      <w:r>
        <w:lastRenderedPageBreak/>
        <w:t xml:space="preserve">Wherefore Plaintiff, </w:t>
      </w:r>
      <w:r w:rsidR="00DD3C7E">
        <w:t>Craig Jones</w:t>
      </w:r>
      <w:r>
        <w:t xml:space="preserve"> respectfully demands a trial by Jury and request that judgement be entered in favor of the Plaintiff against the Defendant for:</w:t>
      </w:r>
    </w:p>
    <w:p w14:paraId="3595DB12" w14:textId="77777777" w:rsidR="0094405A" w:rsidRDefault="0094405A" w:rsidP="0094405A">
      <w:pPr>
        <w:pStyle w:val="Body"/>
      </w:pPr>
    </w:p>
    <w:p w14:paraId="304EA7F6" w14:textId="204FEF23" w:rsidR="0094405A" w:rsidRDefault="0094405A" w:rsidP="0094405A">
      <w:pPr>
        <w:pStyle w:val="Body"/>
      </w:pPr>
      <w:r>
        <w:t>A. Judgment for the violations occurred for violating the FDCPA;</w:t>
      </w:r>
    </w:p>
    <w:p w14:paraId="548E5099" w14:textId="77777777" w:rsidR="0094405A" w:rsidRDefault="0094405A" w:rsidP="0094405A">
      <w:pPr>
        <w:pStyle w:val="Body"/>
      </w:pPr>
      <w:r>
        <w:t xml:space="preserve"> B. Actual damages pursuant to 15 </w:t>
      </w:r>
      <w:proofErr w:type="gramStart"/>
      <w:r>
        <w:t>U.S,C</w:t>
      </w:r>
      <w:proofErr w:type="gramEnd"/>
      <w:r>
        <w:t xml:space="preserve"> 1692k(1)(2);</w:t>
      </w:r>
    </w:p>
    <w:p w14:paraId="72B6DB51" w14:textId="77777777" w:rsidR="0094405A" w:rsidRDefault="0094405A" w:rsidP="0094405A">
      <w:pPr>
        <w:pStyle w:val="Body"/>
      </w:pPr>
      <w:r>
        <w:t xml:space="preserve"> C. Statutory damages pursuant to 15 U.S.C 1692</w:t>
      </w:r>
      <w:proofErr w:type="gramStart"/>
      <w:r>
        <w:t>k(</w:t>
      </w:r>
      <w:proofErr w:type="gramEnd"/>
      <w:r>
        <w:t>2);</w:t>
      </w:r>
    </w:p>
    <w:p w14:paraId="534CF85B" w14:textId="77777777" w:rsidR="00A85353" w:rsidRDefault="0094405A" w:rsidP="0094405A">
      <w:pPr>
        <w:pStyle w:val="Body"/>
      </w:pPr>
      <w:r>
        <w:t xml:space="preserve"> D. Cost pursuant to 15 U.S.C 1692</w:t>
      </w:r>
      <w:proofErr w:type="gramStart"/>
      <w:r>
        <w:t>k(</w:t>
      </w:r>
      <w:proofErr w:type="gramEnd"/>
      <w:r>
        <w:t xml:space="preserve">3); </w:t>
      </w:r>
    </w:p>
    <w:p w14:paraId="0A3FBBA9" w14:textId="3C6AE328" w:rsidR="00A85353" w:rsidRDefault="00A85353" w:rsidP="00A85353">
      <w:pPr>
        <w:pStyle w:val="Body"/>
      </w:pPr>
      <w:r>
        <w:t>F. statutory damages of $500.00 per call pursuant to 47 U.S.C. § 227(b)(3)(B) against CRM;</w:t>
      </w:r>
    </w:p>
    <w:p w14:paraId="515CE399" w14:textId="5497CF8A" w:rsidR="00A85353" w:rsidRDefault="00A85353" w:rsidP="0094405A">
      <w:pPr>
        <w:pStyle w:val="Body"/>
      </w:pPr>
      <w:r>
        <w:t>E. Treble damages of $1,500.00 in statutory damages, for each and every willful or knowing violation, pursuant to 47 U.S.C. § 227(b)(3)(C)</w:t>
      </w:r>
    </w:p>
    <w:p w14:paraId="60F00E4F" w14:textId="4937B3B1" w:rsidR="00A85353" w:rsidRDefault="00A85353" w:rsidP="0094405A">
      <w:pPr>
        <w:pStyle w:val="Body"/>
      </w:pPr>
      <w:r>
        <w:t>F. an injunction prohibiting CRM from contacting Mr. Jones using an automated dialing system pursuant to 47 U.S.C. § 227(b)(3)(A)</w:t>
      </w:r>
    </w:p>
    <w:p w14:paraId="6C08952E" w14:textId="437C7371" w:rsidR="0094405A" w:rsidRDefault="0094405A" w:rsidP="0094405A">
      <w:pPr>
        <w:pStyle w:val="Body"/>
      </w:pPr>
      <w:r>
        <w:t>E. For such other and further relief as the Court may deem just and proper.</w:t>
      </w:r>
    </w:p>
    <w:p w14:paraId="098DF1EB" w14:textId="2E780D08" w:rsidR="0094405A" w:rsidRDefault="0094405A" w:rsidP="00194A43">
      <w:pPr>
        <w:ind w:left="360"/>
      </w:pPr>
    </w:p>
    <w:p w14:paraId="77225B3C" w14:textId="77777777" w:rsidR="00617092" w:rsidRDefault="00617092" w:rsidP="00C84B4C"/>
    <w:p w14:paraId="25ABFC1D" w14:textId="77777777" w:rsidR="00C84B4C" w:rsidRDefault="00C84B4C" w:rsidP="00C84B4C"/>
    <w:p w14:paraId="41AB284F" w14:textId="79EE90D2" w:rsidR="00C77D7A" w:rsidRDefault="001919A8" w:rsidP="00C77D7A">
      <w:pPr>
        <w:tabs>
          <w:tab w:val="left" w:pos="3600"/>
          <w:tab w:val="left" w:pos="7920"/>
        </w:tabs>
        <w:ind w:left="720"/>
      </w:pPr>
      <w:r>
        <w:t xml:space="preserve">      </w:t>
      </w:r>
      <w:r w:rsidR="00E26DD3">
        <w:t xml:space="preserve">Date: </w:t>
      </w:r>
      <w:r>
        <w:t xml:space="preserve">                             </w:t>
      </w:r>
    </w:p>
    <w:p w14:paraId="448B03D7" w14:textId="5036CBCA" w:rsidR="000405C4" w:rsidRDefault="00C77D7A" w:rsidP="00DD3C7E">
      <w:pPr>
        <w:tabs>
          <w:tab w:val="left" w:pos="3600"/>
          <w:tab w:val="left" w:pos="7920"/>
        </w:tabs>
        <w:ind w:left="720"/>
      </w:pPr>
      <w:r>
        <w:t xml:space="preserve">                                                                     </w:t>
      </w:r>
      <w:r w:rsidR="00DD3C7E">
        <w:t>Craig Jones</w:t>
      </w:r>
    </w:p>
    <w:p w14:paraId="715E9C95" w14:textId="77777777" w:rsidR="00A85353" w:rsidRDefault="005B3918" w:rsidP="00A85353">
      <w:pPr>
        <w:tabs>
          <w:tab w:val="left" w:pos="3600"/>
          <w:tab w:val="left" w:pos="7920"/>
        </w:tabs>
        <w:ind w:left="720"/>
      </w:pPr>
      <w:r>
        <w:t xml:space="preserve">                                                     </w:t>
      </w:r>
      <w:r w:rsidR="001919A8">
        <w:t xml:space="preserve">                </w:t>
      </w:r>
      <w:r w:rsidR="0094405A">
        <w:t xml:space="preserve">EMAIL: </w:t>
      </w:r>
      <w:r w:rsidR="00A85353">
        <w:t>cjonesbusinessinfo@gmail.com</w:t>
      </w:r>
      <w:r w:rsidR="0094405A">
        <w:t xml:space="preserve"> </w:t>
      </w:r>
      <w:r w:rsidR="00A85353">
        <w:t xml:space="preserve">  </w:t>
      </w:r>
    </w:p>
    <w:p w14:paraId="34FAAF1D" w14:textId="6E5263BC" w:rsidR="0094405A" w:rsidRDefault="00A85353" w:rsidP="00A85353">
      <w:pPr>
        <w:tabs>
          <w:tab w:val="left" w:pos="3600"/>
          <w:tab w:val="left" w:pos="7920"/>
        </w:tabs>
        <w:ind w:left="720"/>
      </w:pPr>
      <w:r>
        <w:t xml:space="preserve">                                                                     </w:t>
      </w:r>
      <w:r w:rsidR="0094405A">
        <w:t xml:space="preserve">Phone Number: </w:t>
      </w:r>
      <w:r w:rsidR="00DD3C7E">
        <w:t>7702623206</w:t>
      </w:r>
    </w:p>
    <w:p w14:paraId="5C97A4E2" w14:textId="77777777" w:rsidR="000405C4" w:rsidRDefault="000405C4">
      <w:pPr>
        <w:tabs>
          <w:tab w:val="left" w:pos="3600"/>
          <w:tab w:val="left" w:pos="7920"/>
        </w:tabs>
        <w:ind w:left="720"/>
        <w:jc w:val="right"/>
      </w:pPr>
    </w:p>
    <w:sectPr w:rsidR="000405C4">
      <w:headerReference w:type="default" r:id="rId11"/>
      <w:footerReference w:type="default" r:id="rId12"/>
      <w:pgSz w:w="12240" w:h="15840"/>
      <w:pgMar w:top="1440" w:right="1440" w:bottom="1152"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F1C173" w14:textId="77777777" w:rsidR="00141B24" w:rsidRDefault="00141B24">
      <w:pPr>
        <w:spacing w:line="240" w:lineRule="auto"/>
      </w:pPr>
      <w:r>
        <w:separator/>
      </w:r>
    </w:p>
  </w:endnote>
  <w:endnote w:type="continuationSeparator" w:id="0">
    <w:p w14:paraId="68082564" w14:textId="77777777" w:rsidR="00141B24" w:rsidRDefault="00141B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8B532" w14:textId="77777777" w:rsidR="000405C4" w:rsidRDefault="005B3918">
    <w:pPr>
      <w:pBdr>
        <w:top w:val="nil"/>
        <w:left w:val="nil"/>
        <w:bottom w:val="nil"/>
        <w:right w:val="nil"/>
        <w:between w:val="nil"/>
      </w:pBdr>
      <w:spacing w:line="240" w:lineRule="auto"/>
      <w:rPr>
        <w:smallCaps/>
        <w:color w:val="000000"/>
        <w:sz w:val="20"/>
        <w:szCs w:val="20"/>
      </w:rPr>
    </w:pPr>
    <w:r>
      <w:rPr>
        <w:smallCaps/>
        <w:color w:val="000000"/>
        <w:sz w:val="20"/>
        <w:szCs w:val="20"/>
      </w:rPr>
      <w:t xml:space="preserve">Complaint for a civil case - </w:t>
    </w:r>
    <w:r>
      <w:rPr>
        <w:smallCaps/>
        <w:color w:val="000000"/>
        <w:sz w:val="20"/>
        <w:szCs w:val="20"/>
      </w:rPr>
      <w:fldChar w:fldCharType="begin"/>
    </w:r>
    <w:r>
      <w:rPr>
        <w:smallCaps/>
        <w:color w:val="000000"/>
        <w:sz w:val="20"/>
        <w:szCs w:val="20"/>
      </w:rPr>
      <w:instrText>PAGE</w:instrText>
    </w:r>
    <w:r>
      <w:rPr>
        <w:smallCaps/>
        <w:color w:val="000000"/>
        <w:sz w:val="20"/>
        <w:szCs w:val="20"/>
      </w:rPr>
      <w:fldChar w:fldCharType="separate"/>
    </w:r>
    <w:r w:rsidR="00AD0995">
      <w:rPr>
        <w:smallCaps/>
        <w:noProof/>
        <w:color w:val="000000"/>
        <w:sz w:val="20"/>
        <w:szCs w:val="20"/>
      </w:rPr>
      <w:t>1</w:t>
    </w:r>
    <w:r>
      <w:rPr>
        <w:smallCap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4C9C7D" w14:textId="77777777" w:rsidR="00141B24" w:rsidRDefault="00141B24">
      <w:pPr>
        <w:spacing w:line="240" w:lineRule="auto"/>
      </w:pPr>
      <w:r>
        <w:separator/>
      </w:r>
    </w:p>
  </w:footnote>
  <w:footnote w:type="continuationSeparator" w:id="0">
    <w:p w14:paraId="364FFFEC" w14:textId="77777777" w:rsidR="00141B24" w:rsidRDefault="00141B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3C460" w14:textId="77777777" w:rsidR="000405C4" w:rsidRDefault="005B3918">
    <w:pPr>
      <w:pBdr>
        <w:top w:val="nil"/>
        <w:left w:val="nil"/>
        <w:bottom w:val="nil"/>
        <w:right w:val="nil"/>
        <w:between w:val="nil"/>
      </w:pBdr>
      <w:tabs>
        <w:tab w:val="center" w:pos="4320"/>
        <w:tab w:val="right" w:pos="8640"/>
      </w:tabs>
      <w:spacing w:line="240" w:lineRule="auto"/>
      <w:rPr>
        <w:color w:val="000000"/>
      </w:rPr>
    </w:pPr>
    <w:r>
      <w:rPr>
        <w:noProof/>
        <w:color w:val="000000"/>
      </w:rPr>
      <mc:AlternateContent>
        <mc:Choice Requires="wps">
          <w:drawing>
            <wp:anchor distT="0" distB="0" distL="114300" distR="114300" simplePos="0" relativeHeight="251658240" behindDoc="0" locked="0" layoutInCell="1" hidden="0" allowOverlap="1" wp14:anchorId="453D5351" wp14:editId="5CB2235D">
              <wp:simplePos x="0" y="0"/>
              <wp:positionH relativeFrom="margin">
                <wp:posOffset>-642936</wp:posOffset>
              </wp:positionH>
              <wp:positionV relativeFrom="margin">
                <wp:align>top</wp:align>
              </wp:positionV>
              <wp:extent cx="466725" cy="8391525"/>
              <wp:effectExtent l="0" t="0" r="0" b="0"/>
              <wp:wrapNone/>
              <wp:docPr id="6" name="Rectangle 6"/>
              <wp:cNvGraphicFramePr/>
              <a:graphic xmlns:a="http://schemas.openxmlformats.org/drawingml/2006/main">
                <a:graphicData uri="http://schemas.microsoft.com/office/word/2010/wordprocessingShape">
                  <wps:wsp>
                    <wps:cNvSpPr/>
                    <wps:spPr>
                      <a:xfrm>
                        <a:off x="5117400" y="0"/>
                        <a:ext cx="457200" cy="7560000"/>
                      </a:xfrm>
                      <a:prstGeom prst="rect">
                        <a:avLst/>
                      </a:prstGeom>
                      <a:solidFill>
                        <a:srgbClr val="FFFFFF"/>
                      </a:solidFill>
                      <a:ln>
                        <a:noFill/>
                      </a:ln>
                    </wps:spPr>
                    <wps:txbx>
                      <w:txbxContent>
                        <w:p w14:paraId="6F0207E7" w14:textId="77777777" w:rsidR="000405C4" w:rsidRDefault="005B3918">
                          <w:pPr>
                            <w:spacing w:line="480" w:lineRule="auto"/>
                            <w:jc w:val="right"/>
                            <w:textDirection w:val="btLr"/>
                          </w:pPr>
                          <w:r>
                            <w:rPr>
                              <w:color w:val="000000"/>
                            </w:rPr>
                            <w:t>1</w:t>
                          </w:r>
                        </w:p>
                        <w:p w14:paraId="3BF62D9E" w14:textId="77777777" w:rsidR="000405C4" w:rsidRDefault="005B3918">
                          <w:pPr>
                            <w:spacing w:line="480" w:lineRule="auto"/>
                            <w:jc w:val="right"/>
                            <w:textDirection w:val="btLr"/>
                          </w:pPr>
                          <w:r>
                            <w:rPr>
                              <w:color w:val="000000"/>
                            </w:rPr>
                            <w:t>2</w:t>
                          </w:r>
                        </w:p>
                        <w:p w14:paraId="6E40D43F" w14:textId="77777777" w:rsidR="000405C4" w:rsidRDefault="005B3918">
                          <w:pPr>
                            <w:spacing w:line="480" w:lineRule="auto"/>
                            <w:jc w:val="right"/>
                            <w:textDirection w:val="btLr"/>
                          </w:pPr>
                          <w:r>
                            <w:rPr>
                              <w:color w:val="000000"/>
                            </w:rPr>
                            <w:t>3</w:t>
                          </w:r>
                        </w:p>
                        <w:p w14:paraId="481B6A86" w14:textId="77777777" w:rsidR="000405C4" w:rsidRDefault="005B3918">
                          <w:pPr>
                            <w:spacing w:line="480" w:lineRule="auto"/>
                            <w:jc w:val="right"/>
                            <w:textDirection w:val="btLr"/>
                          </w:pPr>
                          <w:r>
                            <w:rPr>
                              <w:color w:val="000000"/>
                            </w:rPr>
                            <w:t>4</w:t>
                          </w:r>
                        </w:p>
                        <w:p w14:paraId="5ED27769" w14:textId="77777777" w:rsidR="000405C4" w:rsidRDefault="005B3918">
                          <w:pPr>
                            <w:spacing w:line="480" w:lineRule="auto"/>
                            <w:jc w:val="right"/>
                            <w:textDirection w:val="btLr"/>
                          </w:pPr>
                          <w:r>
                            <w:rPr>
                              <w:color w:val="000000"/>
                            </w:rPr>
                            <w:t>5</w:t>
                          </w:r>
                        </w:p>
                        <w:p w14:paraId="4B3BE417" w14:textId="77777777" w:rsidR="000405C4" w:rsidRDefault="005B3918">
                          <w:pPr>
                            <w:spacing w:line="480" w:lineRule="auto"/>
                            <w:jc w:val="right"/>
                            <w:textDirection w:val="btLr"/>
                          </w:pPr>
                          <w:r>
                            <w:rPr>
                              <w:color w:val="000000"/>
                            </w:rPr>
                            <w:t>6</w:t>
                          </w:r>
                        </w:p>
                        <w:p w14:paraId="53AA243D" w14:textId="77777777" w:rsidR="000405C4" w:rsidRDefault="005B3918">
                          <w:pPr>
                            <w:spacing w:line="480" w:lineRule="auto"/>
                            <w:jc w:val="right"/>
                            <w:textDirection w:val="btLr"/>
                          </w:pPr>
                          <w:r>
                            <w:rPr>
                              <w:color w:val="000000"/>
                            </w:rPr>
                            <w:t>7</w:t>
                          </w:r>
                        </w:p>
                        <w:p w14:paraId="413D28DA" w14:textId="77777777" w:rsidR="000405C4" w:rsidRDefault="005B3918">
                          <w:pPr>
                            <w:spacing w:line="480" w:lineRule="auto"/>
                            <w:jc w:val="right"/>
                            <w:textDirection w:val="btLr"/>
                          </w:pPr>
                          <w:r>
                            <w:rPr>
                              <w:color w:val="000000"/>
                            </w:rPr>
                            <w:t>8</w:t>
                          </w:r>
                        </w:p>
                        <w:p w14:paraId="6255143A" w14:textId="77777777" w:rsidR="000405C4" w:rsidRDefault="005B3918">
                          <w:pPr>
                            <w:spacing w:line="480" w:lineRule="auto"/>
                            <w:jc w:val="right"/>
                            <w:textDirection w:val="btLr"/>
                          </w:pPr>
                          <w:r>
                            <w:rPr>
                              <w:color w:val="000000"/>
                            </w:rPr>
                            <w:t>9</w:t>
                          </w:r>
                        </w:p>
                        <w:p w14:paraId="74F5D786" w14:textId="77777777" w:rsidR="000405C4" w:rsidRDefault="005B3918">
                          <w:pPr>
                            <w:spacing w:line="480" w:lineRule="auto"/>
                            <w:jc w:val="right"/>
                            <w:textDirection w:val="btLr"/>
                          </w:pPr>
                          <w:r>
                            <w:rPr>
                              <w:color w:val="000000"/>
                            </w:rPr>
                            <w:t>10</w:t>
                          </w:r>
                        </w:p>
                        <w:p w14:paraId="165A2372" w14:textId="77777777" w:rsidR="000405C4" w:rsidRDefault="005B3918">
                          <w:pPr>
                            <w:spacing w:line="480" w:lineRule="auto"/>
                            <w:jc w:val="right"/>
                            <w:textDirection w:val="btLr"/>
                          </w:pPr>
                          <w:r>
                            <w:rPr>
                              <w:color w:val="000000"/>
                            </w:rPr>
                            <w:t>11</w:t>
                          </w:r>
                        </w:p>
                        <w:p w14:paraId="1B0E9852" w14:textId="77777777" w:rsidR="000405C4" w:rsidRDefault="005B3918">
                          <w:pPr>
                            <w:spacing w:line="480" w:lineRule="auto"/>
                            <w:jc w:val="right"/>
                            <w:textDirection w:val="btLr"/>
                          </w:pPr>
                          <w:r>
                            <w:rPr>
                              <w:color w:val="000000"/>
                            </w:rPr>
                            <w:t>12</w:t>
                          </w:r>
                        </w:p>
                        <w:p w14:paraId="19F63558" w14:textId="77777777" w:rsidR="000405C4" w:rsidRDefault="005B3918">
                          <w:pPr>
                            <w:spacing w:line="480" w:lineRule="auto"/>
                            <w:jc w:val="right"/>
                            <w:textDirection w:val="btLr"/>
                          </w:pPr>
                          <w:r>
                            <w:rPr>
                              <w:color w:val="000000"/>
                            </w:rPr>
                            <w:t>13</w:t>
                          </w:r>
                        </w:p>
                        <w:p w14:paraId="15692340" w14:textId="77777777" w:rsidR="000405C4" w:rsidRDefault="005B3918">
                          <w:pPr>
                            <w:spacing w:line="480" w:lineRule="auto"/>
                            <w:jc w:val="right"/>
                            <w:textDirection w:val="btLr"/>
                          </w:pPr>
                          <w:r>
                            <w:rPr>
                              <w:color w:val="000000"/>
                            </w:rPr>
                            <w:t>14</w:t>
                          </w:r>
                        </w:p>
                        <w:p w14:paraId="7D79FD27" w14:textId="77777777" w:rsidR="000405C4" w:rsidRDefault="005B3918">
                          <w:pPr>
                            <w:spacing w:line="480" w:lineRule="auto"/>
                            <w:jc w:val="right"/>
                            <w:textDirection w:val="btLr"/>
                          </w:pPr>
                          <w:r>
                            <w:rPr>
                              <w:color w:val="000000"/>
                            </w:rPr>
                            <w:t>15</w:t>
                          </w:r>
                        </w:p>
                        <w:p w14:paraId="4BF1B621" w14:textId="77777777" w:rsidR="000405C4" w:rsidRDefault="005B3918">
                          <w:pPr>
                            <w:spacing w:line="480" w:lineRule="auto"/>
                            <w:jc w:val="right"/>
                            <w:textDirection w:val="btLr"/>
                          </w:pPr>
                          <w:r>
                            <w:rPr>
                              <w:color w:val="000000"/>
                            </w:rPr>
                            <w:t>16</w:t>
                          </w:r>
                        </w:p>
                        <w:p w14:paraId="12E4FEA9" w14:textId="77777777" w:rsidR="000405C4" w:rsidRDefault="005B3918">
                          <w:pPr>
                            <w:spacing w:line="480" w:lineRule="auto"/>
                            <w:jc w:val="right"/>
                            <w:textDirection w:val="btLr"/>
                          </w:pPr>
                          <w:r>
                            <w:rPr>
                              <w:color w:val="000000"/>
                            </w:rPr>
                            <w:t>17</w:t>
                          </w:r>
                        </w:p>
                        <w:p w14:paraId="760A57BB" w14:textId="77777777" w:rsidR="000405C4" w:rsidRDefault="005B3918">
                          <w:pPr>
                            <w:spacing w:line="480" w:lineRule="auto"/>
                            <w:jc w:val="right"/>
                            <w:textDirection w:val="btLr"/>
                          </w:pPr>
                          <w:r>
                            <w:rPr>
                              <w:color w:val="000000"/>
                            </w:rPr>
                            <w:t>18</w:t>
                          </w:r>
                        </w:p>
                        <w:p w14:paraId="05D4A5EF" w14:textId="77777777" w:rsidR="000405C4" w:rsidRDefault="005B3918">
                          <w:pPr>
                            <w:spacing w:line="480" w:lineRule="auto"/>
                            <w:jc w:val="right"/>
                            <w:textDirection w:val="btLr"/>
                          </w:pPr>
                          <w:r>
                            <w:rPr>
                              <w:color w:val="000000"/>
                            </w:rPr>
                            <w:t>19</w:t>
                          </w:r>
                        </w:p>
                        <w:p w14:paraId="49EE852F" w14:textId="77777777" w:rsidR="000405C4" w:rsidRDefault="005B3918">
                          <w:pPr>
                            <w:spacing w:line="480" w:lineRule="auto"/>
                            <w:jc w:val="right"/>
                            <w:textDirection w:val="btLr"/>
                          </w:pPr>
                          <w:r>
                            <w:rPr>
                              <w:color w:val="000000"/>
                            </w:rPr>
                            <w:t>20</w:t>
                          </w:r>
                        </w:p>
                        <w:p w14:paraId="5E78413A" w14:textId="77777777" w:rsidR="000405C4" w:rsidRDefault="005B3918">
                          <w:pPr>
                            <w:spacing w:line="480" w:lineRule="auto"/>
                            <w:jc w:val="right"/>
                            <w:textDirection w:val="btLr"/>
                          </w:pPr>
                          <w:r>
                            <w:rPr>
                              <w:color w:val="000000"/>
                            </w:rPr>
                            <w:t>21</w:t>
                          </w:r>
                        </w:p>
                        <w:p w14:paraId="466B3027" w14:textId="77777777" w:rsidR="000405C4" w:rsidRDefault="005B3918">
                          <w:pPr>
                            <w:spacing w:line="480" w:lineRule="auto"/>
                            <w:jc w:val="right"/>
                            <w:textDirection w:val="btLr"/>
                          </w:pPr>
                          <w:r>
                            <w:rPr>
                              <w:color w:val="000000"/>
                            </w:rPr>
                            <w:t>22</w:t>
                          </w:r>
                        </w:p>
                        <w:p w14:paraId="19231918" w14:textId="77777777" w:rsidR="000405C4" w:rsidRDefault="005B3918">
                          <w:pPr>
                            <w:spacing w:line="480" w:lineRule="auto"/>
                            <w:jc w:val="right"/>
                            <w:textDirection w:val="btLr"/>
                          </w:pPr>
                          <w:r>
                            <w:rPr>
                              <w:color w:val="000000"/>
                            </w:rPr>
                            <w:t>23</w:t>
                          </w:r>
                        </w:p>
                        <w:p w14:paraId="728667C9" w14:textId="77777777" w:rsidR="000405C4" w:rsidRDefault="005B3918">
                          <w:pPr>
                            <w:spacing w:line="480" w:lineRule="auto"/>
                            <w:jc w:val="right"/>
                            <w:textDirection w:val="btLr"/>
                          </w:pPr>
                          <w:r>
                            <w:rPr>
                              <w:color w:val="000000"/>
                            </w:rPr>
                            <w:t>24</w:t>
                          </w:r>
                        </w:p>
                        <w:p w14:paraId="29488175" w14:textId="77777777" w:rsidR="000405C4" w:rsidRDefault="005B3918">
                          <w:pPr>
                            <w:spacing w:line="480" w:lineRule="auto"/>
                            <w:jc w:val="right"/>
                            <w:textDirection w:val="btLr"/>
                          </w:pPr>
                          <w:r>
                            <w:rPr>
                              <w:color w:val="000000"/>
                            </w:rPr>
                            <w:t>25</w:t>
                          </w:r>
                        </w:p>
                        <w:p w14:paraId="5D9B2DA9" w14:textId="77777777" w:rsidR="000405C4" w:rsidRDefault="000405C4">
                          <w:pPr>
                            <w:spacing w:line="240" w:lineRule="auto"/>
                            <w:jc w:val="right"/>
                            <w:textDirection w:val="btLr"/>
                          </w:pPr>
                        </w:p>
                      </w:txbxContent>
                    </wps:txbx>
                    <wps:bodyPr spcFirstLastPara="1" wrap="square" lIns="0" tIns="0" rIns="0" bIns="0" anchor="t" anchorCtr="0">
                      <a:noAutofit/>
                    </wps:bodyPr>
                  </wps:wsp>
                </a:graphicData>
              </a:graphic>
            </wp:anchor>
          </w:drawing>
        </mc:Choice>
        <mc:Fallback>
          <w:pict>
            <v:rect w14:anchorId="453D5351" id="Rectangle 6" o:spid="_x0000_s1026" style="position:absolute;margin-left:-50.6pt;margin-top:0;width:36.75pt;height:660.75pt;z-index:251658240;visibility:visible;mso-wrap-style:square;mso-wrap-distance-left:9pt;mso-wrap-distance-top:0;mso-wrap-distance-right:9pt;mso-wrap-distance-bottom:0;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" stroked="f">
              <v:textbox inset="0,0,0,0">
                <w:txbxContent>
                  <w:p w14:paraId="6F0207E7" w14:textId="77777777" w:rsidR="000405C4" w:rsidRDefault="005B3918">
                    <w:pPr>
                      <w:spacing w:line="480" w:lineRule="auto"/>
                      <w:jc w:val="right"/>
                      <w:textDirection w:val="btLr"/>
                    </w:pPr>
                    <w:r>
                      <w:rPr>
                        <w:color w:val="000000"/>
                      </w:rPr>
                      <w:t>1</w:t>
                    </w:r>
                  </w:p>
                  <w:p w14:paraId="3BF62D9E" w14:textId="77777777" w:rsidR="000405C4" w:rsidRDefault="005B3918">
                    <w:pPr>
                      <w:spacing w:line="480" w:lineRule="auto"/>
                      <w:jc w:val="right"/>
                      <w:textDirection w:val="btLr"/>
                    </w:pPr>
                    <w:r>
                      <w:rPr>
                        <w:color w:val="000000"/>
                      </w:rPr>
                      <w:t>2</w:t>
                    </w:r>
                  </w:p>
                  <w:p w14:paraId="6E40D43F" w14:textId="77777777" w:rsidR="000405C4" w:rsidRDefault="005B3918">
                    <w:pPr>
                      <w:spacing w:line="480" w:lineRule="auto"/>
                      <w:jc w:val="right"/>
                      <w:textDirection w:val="btLr"/>
                    </w:pPr>
                    <w:r>
                      <w:rPr>
                        <w:color w:val="000000"/>
                      </w:rPr>
                      <w:t>3</w:t>
                    </w:r>
                  </w:p>
                  <w:p w14:paraId="481B6A86" w14:textId="77777777" w:rsidR="000405C4" w:rsidRDefault="005B3918">
                    <w:pPr>
                      <w:spacing w:line="480" w:lineRule="auto"/>
                      <w:jc w:val="right"/>
                      <w:textDirection w:val="btLr"/>
                    </w:pPr>
                    <w:r>
                      <w:rPr>
                        <w:color w:val="000000"/>
                      </w:rPr>
                      <w:t>4</w:t>
                    </w:r>
                  </w:p>
                  <w:p w14:paraId="5ED27769" w14:textId="77777777" w:rsidR="000405C4" w:rsidRDefault="005B3918">
                    <w:pPr>
                      <w:spacing w:line="480" w:lineRule="auto"/>
                      <w:jc w:val="right"/>
                      <w:textDirection w:val="btLr"/>
                    </w:pPr>
                    <w:r>
                      <w:rPr>
                        <w:color w:val="000000"/>
                      </w:rPr>
                      <w:t>5</w:t>
                    </w:r>
                  </w:p>
                  <w:p w14:paraId="4B3BE417" w14:textId="77777777" w:rsidR="000405C4" w:rsidRDefault="005B3918">
                    <w:pPr>
                      <w:spacing w:line="480" w:lineRule="auto"/>
                      <w:jc w:val="right"/>
                      <w:textDirection w:val="btLr"/>
                    </w:pPr>
                    <w:r>
                      <w:rPr>
                        <w:color w:val="000000"/>
                      </w:rPr>
                      <w:t>6</w:t>
                    </w:r>
                  </w:p>
                  <w:p w14:paraId="53AA243D" w14:textId="77777777" w:rsidR="000405C4" w:rsidRDefault="005B3918">
                    <w:pPr>
                      <w:spacing w:line="480" w:lineRule="auto"/>
                      <w:jc w:val="right"/>
                      <w:textDirection w:val="btLr"/>
                    </w:pPr>
                    <w:r>
                      <w:rPr>
                        <w:color w:val="000000"/>
                      </w:rPr>
                      <w:t>7</w:t>
                    </w:r>
                  </w:p>
                  <w:p w14:paraId="413D28DA" w14:textId="77777777" w:rsidR="000405C4" w:rsidRDefault="005B3918">
                    <w:pPr>
                      <w:spacing w:line="480" w:lineRule="auto"/>
                      <w:jc w:val="right"/>
                      <w:textDirection w:val="btLr"/>
                    </w:pPr>
                    <w:r>
                      <w:rPr>
                        <w:color w:val="000000"/>
                      </w:rPr>
                      <w:t>8</w:t>
                    </w:r>
                  </w:p>
                  <w:p w14:paraId="6255143A" w14:textId="77777777" w:rsidR="000405C4" w:rsidRDefault="005B3918">
                    <w:pPr>
                      <w:spacing w:line="480" w:lineRule="auto"/>
                      <w:jc w:val="right"/>
                      <w:textDirection w:val="btLr"/>
                    </w:pPr>
                    <w:r>
                      <w:rPr>
                        <w:color w:val="000000"/>
                      </w:rPr>
                      <w:t>9</w:t>
                    </w:r>
                  </w:p>
                  <w:p w14:paraId="74F5D786" w14:textId="77777777" w:rsidR="000405C4" w:rsidRDefault="005B3918">
                    <w:pPr>
                      <w:spacing w:line="480" w:lineRule="auto"/>
                      <w:jc w:val="right"/>
                      <w:textDirection w:val="btLr"/>
                    </w:pPr>
                    <w:r>
                      <w:rPr>
                        <w:color w:val="000000"/>
                      </w:rPr>
                      <w:t>10</w:t>
                    </w:r>
                  </w:p>
                  <w:p w14:paraId="165A2372" w14:textId="77777777" w:rsidR="000405C4" w:rsidRDefault="005B3918">
                    <w:pPr>
                      <w:spacing w:line="480" w:lineRule="auto"/>
                      <w:jc w:val="right"/>
                      <w:textDirection w:val="btLr"/>
                    </w:pPr>
                    <w:r>
                      <w:rPr>
                        <w:color w:val="000000"/>
                      </w:rPr>
                      <w:t>11</w:t>
                    </w:r>
                  </w:p>
                  <w:p w14:paraId="1B0E9852" w14:textId="77777777" w:rsidR="000405C4" w:rsidRDefault="005B3918">
                    <w:pPr>
                      <w:spacing w:line="480" w:lineRule="auto"/>
                      <w:jc w:val="right"/>
                      <w:textDirection w:val="btLr"/>
                    </w:pPr>
                    <w:r>
                      <w:rPr>
                        <w:color w:val="000000"/>
                      </w:rPr>
                      <w:t>12</w:t>
                    </w:r>
                  </w:p>
                  <w:p w14:paraId="19F63558" w14:textId="77777777" w:rsidR="000405C4" w:rsidRDefault="005B3918">
                    <w:pPr>
                      <w:spacing w:line="480" w:lineRule="auto"/>
                      <w:jc w:val="right"/>
                      <w:textDirection w:val="btLr"/>
                    </w:pPr>
                    <w:r>
                      <w:rPr>
                        <w:color w:val="000000"/>
                      </w:rPr>
                      <w:t>13</w:t>
                    </w:r>
                  </w:p>
                  <w:p w14:paraId="15692340" w14:textId="77777777" w:rsidR="000405C4" w:rsidRDefault="005B3918">
                    <w:pPr>
                      <w:spacing w:line="480" w:lineRule="auto"/>
                      <w:jc w:val="right"/>
                      <w:textDirection w:val="btLr"/>
                    </w:pPr>
                    <w:r>
                      <w:rPr>
                        <w:color w:val="000000"/>
                      </w:rPr>
                      <w:t>14</w:t>
                    </w:r>
                  </w:p>
                  <w:p w14:paraId="7D79FD27" w14:textId="77777777" w:rsidR="000405C4" w:rsidRDefault="005B3918">
                    <w:pPr>
                      <w:spacing w:line="480" w:lineRule="auto"/>
                      <w:jc w:val="right"/>
                      <w:textDirection w:val="btLr"/>
                    </w:pPr>
                    <w:r>
                      <w:rPr>
                        <w:color w:val="000000"/>
                      </w:rPr>
                      <w:t>15</w:t>
                    </w:r>
                  </w:p>
                  <w:p w14:paraId="4BF1B621" w14:textId="77777777" w:rsidR="000405C4" w:rsidRDefault="005B3918">
                    <w:pPr>
                      <w:spacing w:line="480" w:lineRule="auto"/>
                      <w:jc w:val="right"/>
                      <w:textDirection w:val="btLr"/>
                    </w:pPr>
                    <w:r>
                      <w:rPr>
                        <w:color w:val="000000"/>
                      </w:rPr>
                      <w:t>16</w:t>
                    </w:r>
                  </w:p>
                  <w:p w14:paraId="12E4FEA9" w14:textId="77777777" w:rsidR="000405C4" w:rsidRDefault="005B3918">
                    <w:pPr>
                      <w:spacing w:line="480" w:lineRule="auto"/>
                      <w:jc w:val="right"/>
                      <w:textDirection w:val="btLr"/>
                    </w:pPr>
                    <w:r>
                      <w:rPr>
                        <w:color w:val="000000"/>
                      </w:rPr>
                      <w:t>17</w:t>
                    </w:r>
                  </w:p>
                  <w:p w14:paraId="760A57BB" w14:textId="77777777" w:rsidR="000405C4" w:rsidRDefault="005B3918">
                    <w:pPr>
                      <w:spacing w:line="480" w:lineRule="auto"/>
                      <w:jc w:val="right"/>
                      <w:textDirection w:val="btLr"/>
                    </w:pPr>
                    <w:r>
                      <w:rPr>
                        <w:color w:val="000000"/>
                      </w:rPr>
                      <w:t>18</w:t>
                    </w:r>
                  </w:p>
                  <w:p w14:paraId="05D4A5EF" w14:textId="77777777" w:rsidR="000405C4" w:rsidRDefault="005B3918">
                    <w:pPr>
                      <w:spacing w:line="480" w:lineRule="auto"/>
                      <w:jc w:val="right"/>
                      <w:textDirection w:val="btLr"/>
                    </w:pPr>
                    <w:r>
                      <w:rPr>
                        <w:color w:val="000000"/>
                      </w:rPr>
                      <w:t>19</w:t>
                    </w:r>
                  </w:p>
                  <w:p w14:paraId="49EE852F" w14:textId="77777777" w:rsidR="000405C4" w:rsidRDefault="005B3918">
                    <w:pPr>
                      <w:spacing w:line="480" w:lineRule="auto"/>
                      <w:jc w:val="right"/>
                      <w:textDirection w:val="btLr"/>
                    </w:pPr>
                    <w:r>
                      <w:rPr>
                        <w:color w:val="000000"/>
                      </w:rPr>
                      <w:t>20</w:t>
                    </w:r>
                  </w:p>
                  <w:p w14:paraId="5E78413A" w14:textId="77777777" w:rsidR="000405C4" w:rsidRDefault="005B3918">
                    <w:pPr>
                      <w:spacing w:line="480" w:lineRule="auto"/>
                      <w:jc w:val="right"/>
                      <w:textDirection w:val="btLr"/>
                    </w:pPr>
                    <w:r>
                      <w:rPr>
                        <w:color w:val="000000"/>
                      </w:rPr>
                      <w:t>21</w:t>
                    </w:r>
                  </w:p>
                  <w:p w14:paraId="466B3027" w14:textId="77777777" w:rsidR="000405C4" w:rsidRDefault="005B3918">
                    <w:pPr>
                      <w:spacing w:line="480" w:lineRule="auto"/>
                      <w:jc w:val="right"/>
                      <w:textDirection w:val="btLr"/>
                    </w:pPr>
                    <w:r>
                      <w:rPr>
                        <w:color w:val="000000"/>
                      </w:rPr>
                      <w:t>22</w:t>
                    </w:r>
                  </w:p>
                  <w:p w14:paraId="19231918" w14:textId="77777777" w:rsidR="000405C4" w:rsidRDefault="005B3918">
                    <w:pPr>
                      <w:spacing w:line="480" w:lineRule="auto"/>
                      <w:jc w:val="right"/>
                      <w:textDirection w:val="btLr"/>
                    </w:pPr>
                    <w:r>
                      <w:rPr>
                        <w:color w:val="000000"/>
                      </w:rPr>
                      <w:t>23</w:t>
                    </w:r>
                  </w:p>
                  <w:p w14:paraId="728667C9" w14:textId="77777777" w:rsidR="000405C4" w:rsidRDefault="005B3918">
                    <w:pPr>
                      <w:spacing w:line="480" w:lineRule="auto"/>
                      <w:jc w:val="right"/>
                      <w:textDirection w:val="btLr"/>
                    </w:pPr>
                    <w:r>
                      <w:rPr>
                        <w:color w:val="000000"/>
                      </w:rPr>
                      <w:t>24</w:t>
                    </w:r>
                  </w:p>
                  <w:p w14:paraId="29488175" w14:textId="77777777" w:rsidR="000405C4" w:rsidRDefault="005B3918">
                    <w:pPr>
                      <w:spacing w:line="480" w:lineRule="auto"/>
                      <w:jc w:val="right"/>
                      <w:textDirection w:val="btLr"/>
                    </w:pPr>
                    <w:r>
                      <w:rPr>
                        <w:color w:val="000000"/>
                      </w:rPr>
                      <w:t>25</w:t>
                    </w:r>
                  </w:p>
                  <w:p w14:paraId="5D9B2DA9" w14:textId="77777777" w:rsidR="000405C4" w:rsidRDefault="000405C4">
                    <w:pPr>
                      <w:spacing w:line="240" w:lineRule="auto"/>
                      <w:jc w:val="right"/>
                      <w:textDirection w:val="btLr"/>
                    </w:pPr>
                  </w:p>
                </w:txbxContent>
              </v:textbox>
              <w10:wrap anchorx="margin" anchory="margin"/>
            </v:rect>
          </w:pict>
        </mc:Fallback>
      </mc:AlternateContent>
    </w:r>
    <w:r>
      <w:rPr>
        <w:noProof/>
        <w:color w:val="000000"/>
      </w:rPr>
      <mc:AlternateContent>
        <mc:Choice Requires="wps">
          <w:drawing>
            <wp:anchor distT="0" distB="0" distL="118744" distR="118744" simplePos="0" relativeHeight="251659264" behindDoc="0" locked="0" layoutInCell="1" hidden="0" allowOverlap="1" wp14:anchorId="390397ED" wp14:editId="59E84393">
              <wp:simplePos x="0" y="0"/>
              <wp:positionH relativeFrom="margin">
                <wp:posOffset>6028689</wp:posOffset>
              </wp:positionH>
              <wp:positionV relativeFrom="page">
                <wp:posOffset>-41909</wp:posOffset>
              </wp:positionV>
              <wp:extent cx="0" cy="10128885"/>
              <wp:effectExtent l="0" t="0" r="0" b="0"/>
              <wp:wrapNone/>
              <wp:docPr id="5" name="Straight Arrow Connector 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2FAADC80" id="_x0000_t32" coordsize="21600,21600" o:spt="32" o:oned="t" path="m,l21600,21600e" filled="f">
              <v:path arrowok="t" fillok="f" o:connecttype="none"/>
              <o:lock v:ext="edit" shapetype="t"/>
            </v:shapetype>
            <v:shape id="Straight Arrow Connector 5" o:spid="_x0000_s1026" type="#_x0000_t32" style="position:absolute;margin-left:474.7pt;margin-top:-3.3pt;width:0;height:797.55pt;z-index:251659264;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">
              <w10:wrap anchorx="margin" anchory="page"/>
            </v:shape>
          </w:pict>
        </mc:Fallback>
      </mc:AlternateContent>
    </w:r>
    <w:r>
      <w:rPr>
        <w:noProof/>
        <w:color w:val="000000"/>
      </w:rPr>
      <mc:AlternateContent>
        <mc:Choice Requires="wps">
          <w:drawing>
            <wp:anchor distT="0" distB="0" distL="118744" distR="118744" simplePos="0" relativeHeight="251660288" behindDoc="0" locked="0" layoutInCell="1" hidden="0" allowOverlap="1" wp14:anchorId="3E754E7F" wp14:editId="35512DC9">
              <wp:simplePos x="0" y="0"/>
              <wp:positionH relativeFrom="margin">
                <wp:posOffset>-97790</wp:posOffset>
              </wp:positionH>
              <wp:positionV relativeFrom="page">
                <wp:posOffset>-611504</wp:posOffset>
              </wp:positionV>
              <wp:extent cx="0" cy="10698480"/>
              <wp:effectExtent l="0" t="0" r="0" b="0"/>
              <wp:wrapNone/>
              <wp:docPr id="8" name="Straight Arrow Connector 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25816B50" id="Straight Arrow Connector 8" o:spid="_x0000_s1026" type="#_x0000_t32" style="position:absolute;margin-left:-7.7pt;margin-top:-48.15pt;width:0;height:842.4pt;z-index:251660288;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">
              <w10:wrap anchorx="margin" anchory="page"/>
            </v:shape>
          </w:pict>
        </mc:Fallback>
      </mc:AlternateContent>
    </w:r>
    <w:r>
      <w:rPr>
        <w:noProof/>
        <w:color w:val="000000"/>
      </w:rPr>
      <mc:AlternateContent>
        <mc:Choice Requires="wps">
          <w:drawing>
            <wp:anchor distT="0" distB="0" distL="118744" distR="118744" simplePos="0" relativeHeight="251661312" behindDoc="0" locked="0" layoutInCell="1" hidden="0" allowOverlap="1" wp14:anchorId="06565516" wp14:editId="390AD109">
              <wp:simplePos x="0" y="0"/>
              <wp:positionH relativeFrom="margin">
                <wp:posOffset>-52070</wp:posOffset>
              </wp:positionH>
              <wp:positionV relativeFrom="page">
                <wp:posOffset>0</wp:posOffset>
              </wp:positionV>
              <wp:extent cx="0" cy="10058400"/>
              <wp:effectExtent l="0" t="0" r="0" b="0"/>
              <wp:wrapNone/>
              <wp:docPr id="7" name="Straight Arrow Connector 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68A28D8A" id="Straight Arrow Connector 7" o:spid="_x0000_s1026" type="#_x0000_t32" style="position:absolute;margin-left:-4.1pt;margin-top:0;width:0;height:11in;z-index:251661312;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">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93348"/>
    <w:multiLevelType w:val="hybridMultilevel"/>
    <w:tmpl w:val="4C70E826"/>
    <w:lvl w:ilvl="0" w:tplc="BD7813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492965"/>
    <w:multiLevelType w:val="multilevel"/>
    <w:tmpl w:val="A886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EA5322"/>
    <w:multiLevelType w:val="hybridMultilevel"/>
    <w:tmpl w:val="24925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84D0304"/>
    <w:multiLevelType w:val="hybridMultilevel"/>
    <w:tmpl w:val="F52E9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227375"/>
    <w:multiLevelType w:val="hybridMultilevel"/>
    <w:tmpl w:val="C4A8E5C0"/>
    <w:lvl w:ilvl="0" w:tplc="FD6CD0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C51652C"/>
    <w:multiLevelType w:val="multilevel"/>
    <w:tmpl w:val="151298FC"/>
    <w:lvl w:ilvl="0">
      <w:start w:val="1"/>
      <w:numFmt w:val="upperRoman"/>
      <w:lvlText w:val="%1."/>
      <w:lvlJc w:val="left"/>
      <w:pPr>
        <w:ind w:left="0" w:firstLine="0"/>
      </w:pPr>
      <w:rPr>
        <w:b/>
        <w:i w:val="0"/>
        <w:smallCaps w:val="0"/>
        <w:strike w:val="0"/>
        <w:color w:val="000000"/>
        <w:sz w:val="24"/>
        <w:szCs w:val="24"/>
        <w:u w:val="none"/>
        <w:vertAlign w:val="baseline"/>
      </w:rPr>
    </w:lvl>
    <w:lvl w:ilvl="1">
      <w:start w:val="1"/>
      <w:numFmt w:val="upperLetter"/>
      <w:pStyle w:val="Heading2"/>
      <w:lvlText w:val="%2."/>
      <w:lvlJc w:val="left"/>
      <w:pPr>
        <w:ind w:left="720" w:hanging="720"/>
      </w:pPr>
      <w:rPr>
        <w:rFonts w:ascii="Times New Roman" w:eastAsia="Times New Roman" w:hAnsi="Times New Roman" w:cs="Times New Roman"/>
        <w:b w:val="0"/>
        <w:i w:val="0"/>
        <w:smallCaps w:val="0"/>
        <w:strike w:val="0"/>
        <w:color w:val="000000"/>
        <w:sz w:val="24"/>
        <w:szCs w:val="24"/>
        <w:u w:val="none"/>
        <w:vertAlign w:val="baseline"/>
      </w:rPr>
    </w:lvl>
    <w:lvl w:ilvl="2">
      <w:start w:val="1"/>
      <w:numFmt w:val="decimal"/>
      <w:pStyle w:val="Heading3"/>
      <w:lvlText w:val="%3."/>
      <w:lvlJc w:val="left"/>
      <w:pPr>
        <w:ind w:left="1080" w:hanging="360"/>
      </w:pPr>
    </w:lvl>
    <w:lvl w:ilvl="3">
      <w:start w:val="1"/>
      <w:numFmt w:val="lowerLetter"/>
      <w:pStyle w:val="Heading4"/>
      <w:lvlText w:val="%4."/>
      <w:lvlJc w:val="left"/>
      <w:pPr>
        <w:ind w:left="2160" w:hanging="720"/>
      </w:pPr>
      <w:rPr>
        <w:rFonts w:ascii="Times New Roman" w:eastAsia="Times New Roman" w:hAnsi="Times New Roman" w:cs="Times New Roman"/>
        <w:b w:val="0"/>
        <w:i w:val="0"/>
        <w:smallCaps w:val="0"/>
        <w:strike w:val="0"/>
        <w:color w:val="000000"/>
        <w:sz w:val="24"/>
        <w:szCs w:val="24"/>
        <w:u w:val="none"/>
        <w:vertAlign w:val="baseline"/>
      </w:rPr>
    </w:lvl>
    <w:lvl w:ilvl="4">
      <w:start w:val="1"/>
      <w:numFmt w:val="decimal"/>
      <w:pStyle w:val="Heading5"/>
      <w:lvlText w:val="(%5)"/>
      <w:lvlJc w:val="left"/>
      <w:pPr>
        <w:ind w:left="2880" w:hanging="720"/>
      </w:pPr>
      <w:rPr>
        <w:rFonts w:ascii="Times New Roman" w:eastAsia="Times New Roman" w:hAnsi="Times New Roman" w:cs="Times New Roman"/>
        <w:b w:val="0"/>
        <w:i w:val="0"/>
        <w:smallCaps w:val="0"/>
        <w:strike w:val="0"/>
        <w:color w:val="000000"/>
        <w:sz w:val="28"/>
        <w:szCs w:val="28"/>
        <w:u w:val="none"/>
        <w:vertAlign w:val="baseline"/>
      </w:rPr>
    </w:lvl>
    <w:lvl w:ilvl="5">
      <w:start w:val="1"/>
      <w:numFmt w:val="lowerLetter"/>
      <w:pStyle w:val="Heading6"/>
      <w:lvlText w:val="(%6)"/>
      <w:lvlJc w:val="left"/>
      <w:pPr>
        <w:ind w:left="3600" w:hanging="720"/>
      </w:pPr>
      <w:rPr>
        <w:rFonts w:ascii="Times New Roman" w:eastAsia="Times New Roman" w:hAnsi="Times New Roman" w:cs="Times New Roman"/>
        <w:b w:val="0"/>
        <w:i w:val="0"/>
        <w:smallCaps w:val="0"/>
        <w:strike w:val="0"/>
        <w:color w:val="000000"/>
        <w:sz w:val="28"/>
        <w:szCs w:val="28"/>
        <w:u w:val="none"/>
        <w:vertAlign w:val="baseline"/>
      </w:rPr>
    </w:lvl>
    <w:lvl w:ilvl="6">
      <w:start w:val="1"/>
      <w:numFmt w:val="lowerRoman"/>
      <w:pStyle w:val="Heading7"/>
      <w:lvlText w:val="%7)"/>
      <w:lvlJc w:val="left"/>
      <w:pPr>
        <w:ind w:left="4320" w:hanging="720"/>
      </w:pPr>
      <w:rPr>
        <w:rFonts w:ascii="Times New Roman" w:eastAsia="Times New Roman" w:hAnsi="Times New Roman" w:cs="Times New Roman"/>
        <w:b w:val="0"/>
        <w:i w:val="0"/>
        <w:smallCaps w:val="0"/>
        <w:strike w:val="0"/>
        <w:color w:val="000000"/>
        <w:sz w:val="28"/>
        <w:szCs w:val="28"/>
        <w:u w:val="none"/>
        <w:vertAlign w:val="baseline"/>
      </w:rPr>
    </w:lvl>
    <w:lvl w:ilvl="7">
      <w:start w:val="1"/>
      <w:numFmt w:val="lowerLetter"/>
      <w:pStyle w:val="Heading8"/>
      <w:lvlText w:val="%8)"/>
      <w:lvlJc w:val="left"/>
      <w:pPr>
        <w:ind w:left="5040" w:hanging="720"/>
      </w:pPr>
      <w:rPr>
        <w:rFonts w:ascii="Times New Roman" w:eastAsia="Times New Roman" w:hAnsi="Times New Roman" w:cs="Times New Roman"/>
        <w:b w:val="0"/>
        <w:i w:val="0"/>
        <w:smallCaps w:val="0"/>
        <w:strike w:val="0"/>
        <w:color w:val="000000"/>
        <w:sz w:val="28"/>
        <w:szCs w:val="28"/>
        <w:u w:val="none"/>
        <w:vertAlign w:val="baseline"/>
      </w:rPr>
    </w:lvl>
    <w:lvl w:ilvl="8">
      <w:start w:val="1"/>
      <w:numFmt w:val="lowerRoman"/>
      <w:pStyle w:val="Heading9"/>
      <w:lvlText w:val="(%9)"/>
      <w:lvlJc w:val="left"/>
      <w:pPr>
        <w:ind w:left="5760" w:hanging="720"/>
      </w:pPr>
      <w:rPr>
        <w:rFonts w:ascii="Times New Roman" w:eastAsia="Times New Roman" w:hAnsi="Times New Roman" w:cs="Times New Roman"/>
        <w:b w:val="0"/>
        <w:i w:val="0"/>
        <w:smallCaps w:val="0"/>
        <w:strike w:val="0"/>
        <w:color w:val="000000"/>
        <w:sz w:val="28"/>
        <w:szCs w:val="28"/>
        <w:u w:val="none"/>
        <w:vertAlign w:val="baseline"/>
      </w:rPr>
    </w:lvl>
  </w:abstractNum>
  <w:abstractNum w:abstractNumId="6" w15:restartNumberingAfterBreak="0">
    <w:nsid w:val="67142B19"/>
    <w:multiLevelType w:val="hybridMultilevel"/>
    <w:tmpl w:val="30EA0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F5A0E3D"/>
    <w:multiLevelType w:val="hybridMultilevel"/>
    <w:tmpl w:val="2228A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31810035">
    <w:abstractNumId w:val="5"/>
  </w:num>
  <w:num w:numId="2" w16cid:durableId="1293173980">
    <w:abstractNumId w:val="0"/>
  </w:num>
  <w:num w:numId="3" w16cid:durableId="803736599">
    <w:abstractNumId w:val="4"/>
  </w:num>
  <w:num w:numId="4" w16cid:durableId="719789333">
    <w:abstractNumId w:val="1"/>
    <w:lvlOverride w:ilvl="0">
      <w:lvl w:ilvl="0">
        <w:numFmt w:val="upperRoman"/>
        <w:lvlText w:val="%1."/>
        <w:lvlJc w:val="right"/>
      </w:lvl>
    </w:lvlOverride>
  </w:num>
  <w:num w:numId="5" w16cid:durableId="77950371">
    <w:abstractNumId w:val="3"/>
  </w:num>
  <w:num w:numId="6" w16cid:durableId="1206411638">
    <w:abstractNumId w:val="7"/>
  </w:num>
  <w:num w:numId="7" w16cid:durableId="654800611">
    <w:abstractNumId w:val="6"/>
  </w:num>
  <w:num w:numId="8" w16cid:durableId="1035232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C4"/>
    <w:rsid w:val="00036764"/>
    <w:rsid w:val="00040539"/>
    <w:rsid w:val="000405C4"/>
    <w:rsid w:val="0004573D"/>
    <w:rsid w:val="000471F8"/>
    <w:rsid w:val="00076887"/>
    <w:rsid w:val="00083031"/>
    <w:rsid w:val="000D79AD"/>
    <w:rsid w:val="000E4182"/>
    <w:rsid w:val="0013012B"/>
    <w:rsid w:val="00141B24"/>
    <w:rsid w:val="001919A8"/>
    <w:rsid w:val="00194A43"/>
    <w:rsid w:val="001A37C9"/>
    <w:rsid w:val="001B3D8A"/>
    <w:rsid w:val="001D2306"/>
    <w:rsid w:val="001D51EC"/>
    <w:rsid w:val="0023687D"/>
    <w:rsid w:val="0027528B"/>
    <w:rsid w:val="002B30F3"/>
    <w:rsid w:val="002E1D92"/>
    <w:rsid w:val="002E3140"/>
    <w:rsid w:val="003173D6"/>
    <w:rsid w:val="00332319"/>
    <w:rsid w:val="003952EA"/>
    <w:rsid w:val="004113C1"/>
    <w:rsid w:val="00453873"/>
    <w:rsid w:val="00494607"/>
    <w:rsid w:val="004A5ADF"/>
    <w:rsid w:val="004E4A2B"/>
    <w:rsid w:val="00512E58"/>
    <w:rsid w:val="005146F4"/>
    <w:rsid w:val="005B3918"/>
    <w:rsid w:val="005B5BC7"/>
    <w:rsid w:val="005C5650"/>
    <w:rsid w:val="005C6B71"/>
    <w:rsid w:val="0060450B"/>
    <w:rsid w:val="00617092"/>
    <w:rsid w:val="006611DF"/>
    <w:rsid w:val="006D5D82"/>
    <w:rsid w:val="006E58C5"/>
    <w:rsid w:val="00723ECE"/>
    <w:rsid w:val="00733FE7"/>
    <w:rsid w:val="00770E57"/>
    <w:rsid w:val="0077760A"/>
    <w:rsid w:val="00851623"/>
    <w:rsid w:val="008C28B8"/>
    <w:rsid w:val="008C329B"/>
    <w:rsid w:val="008C69BE"/>
    <w:rsid w:val="008C7788"/>
    <w:rsid w:val="00910456"/>
    <w:rsid w:val="009210FE"/>
    <w:rsid w:val="0094405A"/>
    <w:rsid w:val="00945DAE"/>
    <w:rsid w:val="00947D71"/>
    <w:rsid w:val="00982B3B"/>
    <w:rsid w:val="0099714D"/>
    <w:rsid w:val="009C76DD"/>
    <w:rsid w:val="009E38F4"/>
    <w:rsid w:val="00A20652"/>
    <w:rsid w:val="00A76B82"/>
    <w:rsid w:val="00A85353"/>
    <w:rsid w:val="00AD0995"/>
    <w:rsid w:val="00B42D62"/>
    <w:rsid w:val="00B53D30"/>
    <w:rsid w:val="00B91CFA"/>
    <w:rsid w:val="00BC3971"/>
    <w:rsid w:val="00BC76B4"/>
    <w:rsid w:val="00C21B52"/>
    <w:rsid w:val="00C3591B"/>
    <w:rsid w:val="00C379E0"/>
    <w:rsid w:val="00C77D7A"/>
    <w:rsid w:val="00C84973"/>
    <w:rsid w:val="00C84B4C"/>
    <w:rsid w:val="00CE5203"/>
    <w:rsid w:val="00D008B7"/>
    <w:rsid w:val="00D07C50"/>
    <w:rsid w:val="00D20BCE"/>
    <w:rsid w:val="00D452D5"/>
    <w:rsid w:val="00D6121B"/>
    <w:rsid w:val="00D66D5B"/>
    <w:rsid w:val="00D94DF7"/>
    <w:rsid w:val="00DC693A"/>
    <w:rsid w:val="00DD3C7E"/>
    <w:rsid w:val="00DE0276"/>
    <w:rsid w:val="00DF3B1F"/>
    <w:rsid w:val="00E26DD3"/>
    <w:rsid w:val="00E356D0"/>
    <w:rsid w:val="00E51BE3"/>
    <w:rsid w:val="00EA2259"/>
    <w:rsid w:val="00EE5A14"/>
    <w:rsid w:val="00EF5F20"/>
    <w:rsid w:val="00F05C26"/>
    <w:rsid w:val="00F27010"/>
    <w:rsid w:val="00F34458"/>
    <w:rsid w:val="00F36DF0"/>
    <w:rsid w:val="00F812A2"/>
    <w:rsid w:val="00FC2FA1"/>
    <w:rsid w:val="00FC5BBF"/>
    <w:rsid w:val="00FF391E"/>
    <w:rsid w:val="00FF5505"/>
    <w:rsid w:val="00FF5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E276"/>
  <w15:docId w15:val="{2F57E8E2-804D-4BE7-BAB2-6F59317A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7E7"/>
    <w:pPr>
      <w:spacing w:line="240" w:lineRule="atLeast"/>
    </w:pPr>
  </w:style>
  <w:style w:type="paragraph" w:styleId="Heading1">
    <w:name w:val="heading 1"/>
    <w:basedOn w:val="Normal"/>
    <w:next w:val="Normal"/>
    <w:uiPriority w:val="9"/>
    <w:qFormat/>
    <w:rsid w:val="00C8270E"/>
    <w:pPr>
      <w:keepNext/>
      <w:keepLines/>
      <w:widowControl w:val="0"/>
      <w:spacing w:line="480" w:lineRule="auto"/>
      <w:jc w:val="center"/>
      <w:outlineLvl w:val="0"/>
    </w:pPr>
    <w:rPr>
      <w:b/>
      <w:caps/>
      <w:snapToGrid w:val="0"/>
      <w:kern w:val="28"/>
    </w:rPr>
  </w:style>
  <w:style w:type="paragraph" w:styleId="Heading2">
    <w:name w:val="heading 2"/>
    <w:basedOn w:val="Normal"/>
    <w:next w:val="Normal"/>
    <w:uiPriority w:val="9"/>
    <w:semiHidden/>
    <w:unhideWhenUsed/>
    <w:qFormat/>
    <w:rsid w:val="0064546A"/>
    <w:pPr>
      <w:keepNext/>
      <w:keepLines/>
      <w:widowControl w:val="0"/>
      <w:numPr>
        <w:ilvl w:val="1"/>
        <w:numId w:val="1"/>
      </w:numPr>
      <w:tabs>
        <w:tab w:val="left" w:pos="720"/>
      </w:tabs>
      <w:spacing w:line="480" w:lineRule="auto"/>
      <w:outlineLvl w:val="1"/>
    </w:pPr>
    <w:rPr>
      <w:snapToGrid w:val="0"/>
    </w:rPr>
  </w:style>
  <w:style w:type="paragraph" w:styleId="Heading3">
    <w:name w:val="heading 3"/>
    <w:basedOn w:val="Normal"/>
    <w:next w:val="Normal"/>
    <w:uiPriority w:val="9"/>
    <w:semiHidden/>
    <w:unhideWhenUsed/>
    <w:qFormat/>
    <w:rsid w:val="002467B1"/>
    <w:pPr>
      <w:keepNext/>
      <w:keepLines/>
      <w:widowControl w:val="0"/>
      <w:numPr>
        <w:ilvl w:val="2"/>
        <w:numId w:val="1"/>
      </w:numPr>
      <w:spacing w:line="480" w:lineRule="auto"/>
      <w:outlineLvl w:val="2"/>
    </w:pPr>
    <w:rPr>
      <w:snapToGrid w:val="0"/>
    </w:rPr>
  </w:style>
  <w:style w:type="paragraph" w:styleId="Heading4">
    <w:name w:val="heading 4"/>
    <w:basedOn w:val="Normal"/>
    <w:next w:val="Normal"/>
    <w:uiPriority w:val="9"/>
    <w:semiHidden/>
    <w:unhideWhenUsed/>
    <w:qFormat/>
    <w:rsid w:val="002467B1"/>
    <w:pPr>
      <w:keepNext/>
      <w:keepLines/>
      <w:widowControl w:val="0"/>
      <w:numPr>
        <w:ilvl w:val="3"/>
        <w:numId w:val="1"/>
      </w:numPr>
      <w:tabs>
        <w:tab w:val="num" w:pos="360"/>
      </w:tabs>
      <w:spacing w:line="480" w:lineRule="auto"/>
      <w:ind w:left="1800" w:firstLine="0"/>
      <w:outlineLvl w:val="3"/>
    </w:pPr>
    <w:rPr>
      <w:snapToGrid w:val="0"/>
    </w:rPr>
  </w:style>
  <w:style w:type="paragraph" w:styleId="Heading5">
    <w:name w:val="heading 5"/>
    <w:basedOn w:val="Normal"/>
    <w:next w:val="Normal"/>
    <w:uiPriority w:val="9"/>
    <w:semiHidden/>
    <w:unhideWhenUsed/>
    <w:qFormat/>
    <w:rsid w:val="00277306"/>
    <w:pPr>
      <w:keepNext/>
      <w:keepLines/>
      <w:widowControl w:val="0"/>
      <w:numPr>
        <w:ilvl w:val="4"/>
        <w:numId w:val="1"/>
      </w:numPr>
      <w:tabs>
        <w:tab w:val="num" w:pos="360"/>
      </w:tabs>
      <w:spacing w:before="180" w:after="60" w:line="240" w:lineRule="exact"/>
      <w:ind w:left="0" w:firstLine="0"/>
      <w:outlineLvl w:val="4"/>
    </w:pPr>
    <w:rPr>
      <w:snapToGrid w:val="0"/>
      <w:u w:val="single"/>
    </w:rPr>
  </w:style>
  <w:style w:type="paragraph" w:styleId="Heading6">
    <w:name w:val="heading 6"/>
    <w:basedOn w:val="Normal"/>
    <w:next w:val="Normal"/>
    <w:uiPriority w:val="9"/>
    <w:semiHidden/>
    <w:unhideWhenUsed/>
    <w:qFormat/>
    <w:rsid w:val="00277306"/>
    <w:pPr>
      <w:keepNext/>
      <w:keepLines/>
      <w:widowControl w:val="0"/>
      <w:numPr>
        <w:ilvl w:val="5"/>
        <w:numId w:val="1"/>
      </w:numPr>
      <w:tabs>
        <w:tab w:val="num" w:pos="360"/>
      </w:tabs>
      <w:spacing w:before="180" w:after="60" w:line="240" w:lineRule="exact"/>
      <w:ind w:left="0" w:firstLine="0"/>
      <w:outlineLvl w:val="5"/>
    </w:pPr>
    <w:rPr>
      <w:snapToGrid w:val="0"/>
      <w:u w:val="single"/>
    </w:rPr>
  </w:style>
  <w:style w:type="paragraph" w:styleId="Heading7">
    <w:name w:val="heading 7"/>
    <w:basedOn w:val="Normal"/>
    <w:next w:val="Normal"/>
    <w:qFormat/>
    <w:rsid w:val="00277306"/>
    <w:pPr>
      <w:keepNext/>
      <w:keepLines/>
      <w:widowControl w:val="0"/>
      <w:numPr>
        <w:ilvl w:val="6"/>
        <w:numId w:val="1"/>
      </w:numPr>
      <w:tabs>
        <w:tab w:val="num" w:pos="360"/>
      </w:tabs>
      <w:spacing w:before="180" w:after="60" w:line="240" w:lineRule="exact"/>
      <w:ind w:left="0" w:firstLine="0"/>
      <w:outlineLvl w:val="6"/>
    </w:pPr>
    <w:rPr>
      <w:snapToGrid w:val="0"/>
      <w:u w:val="single"/>
    </w:rPr>
  </w:style>
  <w:style w:type="paragraph" w:styleId="Heading8">
    <w:name w:val="heading 8"/>
    <w:basedOn w:val="Normal"/>
    <w:next w:val="Normal"/>
    <w:qFormat/>
    <w:rsid w:val="00277306"/>
    <w:pPr>
      <w:keepNext/>
      <w:keepLines/>
      <w:widowControl w:val="0"/>
      <w:numPr>
        <w:ilvl w:val="7"/>
        <w:numId w:val="1"/>
      </w:numPr>
      <w:tabs>
        <w:tab w:val="num" w:pos="360"/>
      </w:tabs>
      <w:spacing w:before="180" w:after="60" w:line="240" w:lineRule="exact"/>
      <w:ind w:left="0" w:firstLine="0"/>
      <w:outlineLvl w:val="7"/>
    </w:pPr>
    <w:rPr>
      <w:snapToGrid w:val="0"/>
      <w:u w:val="single"/>
    </w:rPr>
  </w:style>
  <w:style w:type="paragraph" w:styleId="Heading9">
    <w:name w:val="heading 9"/>
    <w:basedOn w:val="Normal"/>
    <w:next w:val="Normal"/>
    <w:qFormat/>
    <w:rsid w:val="00277306"/>
    <w:pPr>
      <w:keepNext/>
      <w:keepLines/>
      <w:widowControl w:val="0"/>
      <w:numPr>
        <w:ilvl w:val="8"/>
        <w:numId w:val="1"/>
      </w:numPr>
      <w:tabs>
        <w:tab w:val="num" w:pos="360"/>
      </w:tabs>
      <w:spacing w:before="180" w:after="60" w:line="240" w:lineRule="exact"/>
      <w:ind w:left="0" w:firstLine="0"/>
      <w:outlineLvl w:val="8"/>
    </w:pPr>
    <w:rPr>
      <w:snapToGrid w:val="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77306"/>
    <w:pPr>
      <w:keepNext/>
      <w:keepLines/>
      <w:widowControl w:val="0"/>
      <w:spacing w:line="480" w:lineRule="exact"/>
      <w:jc w:val="center"/>
      <w:outlineLvl w:val="0"/>
    </w:pPr>
    <w:rPr>
      <w:b/>
      <w:kern w:val="28"/>
    </w:rPr>
  </w:style>
  <w:style w:type="paragraph" w:customStyle="1" w:styleId="SingleSpacing">
    <w:name w:val="Single Spacing"/>
    <w:basedOn w:val="Normal"/>
    <w:semiHidden/>
    <w:rsid w:val="00277306"/>
    <w:pPr>
      <w:spacing w:line="261" w:lineRule="exact"/>
    </w:pPr>
  </w:style>
  <w:style w:type="paragraph" w:customStyle="1" w:styleId="15Spacing">
    <w:name w:val="1.5 Spacing"/>
    <w:basedOn w:val="Normal"/>
    <w:semiHidden/>
    <w:rsid w:val="00277306"/>
    <w:pPr>
      <w:spacing w:line="392" w:lineRule="exact"/>
    </w:pPr>
  </w:style>
  <w:style w:type="paragraph" w:customStyle="1" w:styleId="DoubleSpacing">
    <w:name w:val="Double Spacing"/>
    <w:basedOn w:val="Normal"/>
    <w:semiHidden/>
    <w:rsid w:val="00277306"/>
  </w:style>
  <w:style w:type="paragraph" w:customStyle="1" w:styleId="AttorneyName">
    <w:name w:val="Attorney Name"/>
    <w:basedOn w:val="SingleSpacing"/>
    <w:semiHidden/>
    <w:rsid w:val="00277306"/>
  </w:style>
  <w:style w:type="paragraph" w:customStyle="1" w:styleId="FirmName">
    <w:name w:val="Firm Name"/>
    <w:basedOn w:val="SingleSpacing"/>
    <w:semiHidden/>
    <w:rsid w:val="00277306"/>
    <w:pPr>
      <w:jc w:val="center"/>
    </w:pPr>
  </w:style>
  <w:style w:type="paragraph" w:styleId="TOC1">
    <w:name w:val="toc 1"/>
    <w:basedOn w:val="Normal"/>
    <w:next w:val="Normal"/>
    <w:autoRedefine/>
    <w:semiHidden/>
    <w:rsid w:val="00277306"/>
  </w:style>
  <w:style w:type="paragraph" w:styleId="Header">
    <w:name w:val="header"/>
    <w:basedOn w:val="Normal"/>
    <w:semiHidden/>
    <w:rsid w:val="00277306"/>
    <w:pPr>
      <w:tabs>
        <w:tab w:val="center" w:pos="4320"/>
        <w:tab w:val="right" w:pos="8640"/>
      </w:tabs>
    </w:pPr>
  </w:style>
  <w:style w:type="paragraph" w:styleId="Footer">
    <w:name w:val="footer"/>
    <w:basedOn w:val="Normal"/>
    <w:link w:val="FooterChar"/>
    <w:uiPriority w:val="99"/>
    <w:rsid w:val="00277306"/>
    <w:pPr>
      <w:tabs>
        <w:tab w:val="center" w:pos="4320"/>
        <w:tab w:val="right" w:pos="8640"/>
      </w:tabs>
    </w:pPr>
  </w:style>
  <w:style w:type="character" w:styleId="PageNumber">
    <w:name w:val="page number"/>
    <w:basedOn w:val="DefaultParagraphFont"/>
    <w:semiHidden/>
    <w:rsid w:val="00277306"/>
    <w:rPr>
      <w:noProof w:val="0"/>
      <w:lang w:val="en-US"/>
    </w:rPr>
  </w:style>
  <w:style w:type="table" w:styleId="TableGrid">
    <w:name w:val="Table Grid"/>
    <w:basedOn w:val="TableNormal"/>
    <w:rsid w:val="007B3EB1"/>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277306"/>
  </w:style>
  <w:style w:type="paragraph" w:styleId="BodyText2">
    <w:name w:val="Body Text 2"/>
    <w:basedOn w:val="Normal"/>
    <w:semiHidden/>
    <w:rsid w:val="00277306"/>
    <w:pPr>
      <w:spacing w:line="480" w:lineRule="exact"/>
      <w:ind w:firstLine="720"/>
    </w:pPr>
  </w:style>
  <w:style w:type="paragraph" w:styleId="BodyText3">
    <w:name w:val="Body Text 3"/>
    <w:basedOn w:val="Normal"/>
    <w:semiHidden/>
    <w:rsid w:val="00277306"/>
    <w:pPr>
      <w:spacing w:line="360" w:lineRule="exact"/>
    </w:pPr>
  </w:style>
  <w:style w:type="paragraph" w:styleId="BlockText">
    <w:name w:val="Block Text"/>
    <w:basedOn w:val="Normal"/>
    <w:semiHidden/>
    <w:rsid w:val="00277306"/>
    <w:pPr>
      <w:spacing w:line="240" w:lineRule="exact"/>
      <w:ind w:left="720" w:right="720"/>
    </w:pPr>
  </w:style>
  <w:style w:type="paragraph" w:styleId="FootnoteText">
    <w:name w:val="footnote text"/>
    <w:basedOn w:val="Normal"/>
    <w:link w:val="FootnoteTextChar"/>
    <w:uiPriority w:val="99"/>
    <w:rsid w:val="00277306"/>
    <w:pPr>
      <w:spacing w:after="120"/>
    </w:pPr>
    <w:rPr>
      <w:sz w:val="20"/>
    </w:rPr>
  </w:style>
  <w:style w:type="paragraph" w:styleId="TOC2">
    <w:name w:val="toc 2"/>
    <w:basedOn w:val="Normal"/>
    <w:next w:val="Normal"/>
    <w:autoRedefine/>
    <w:semiHidden/>
    <w:rsid w:val="00277306"/>
    <w:pPr>
      <w:ind w:left="240"/>
    </w:pPr>
  </w:style>
  <w:style w:type="paragraph" w:styleId="TOC3">
    <w:name w:val="toc 3"/>
    <w:basedOn w:val="Normal"/>
    <w:next w:val="Normal"/>
    <w:autoRedefine/>
    <w:semiHidden/>
    <w:rsid w:val="00277306"/>
    <w:pPr>
      <w:ind w:left="480"/>
    </w:pPr>
  </w:style>
  <w:style w:type="paragraph" w:styleId="TOC4">
    <w:name w:val="toc 4"/>
    <w:basedOn w:val="Normal"/>
    <w:next w:val="Normal"/>
    <w:autoRedefine/>
    <w:semiHidden/>
    <w:rsid w:val="00277306"/>
    <w:pPr>
      <w:ind w:left="720"/>
    </w:pPr>
  </w:style>
  <w:style w:type="paragraph" w:styleId="TOC5">
    <w:name w:val="toc 5"/>
    <w:basedOn w:val="Normal"/>
    <w:next w:val="Normal"/>
    <w:autoRedefine/>
    <w:semiHidden/>
    <w:rsid w:val="00277306"/>
    <w:pPr>
      <w:ind w:left="960"/>
    </w:pPr>
  </w:style>
  <w:style w:type="paragraph" w:styleId="TOC6">
    <w:name w:val="toc 6"/>
    <w:basedOn w:val="Normal"/>
    <w:next w:val="Normal"/>
    <w:autoRedefine/>
    <w:semiHidden/>
    <w:rsid w:val="00277306"/>
    <w:pPr>
      <w:ind w:left="1200"/>
    </w:pPr>
  </w:style>
  <w:style w:type="paragraph" w:styleId="TOC7">
    <w:name w:val="toc 7"/>
    <w:basedOn w:val="Normal"/>
    <w:next w:val="Normal"/>
    <w:autoRedefine/>
    <w:semiHidden/>
    <w:rsid w:val="00277306"/>
    <w:pPr>
      <w:ind w:left="1440"/>
    </w:pPr>
  </w:style>
  <w:style w:type="paragraph" w:styleId="TOC8">
    <w:name w:val="toc 8"/>
    <w:basedOn w:val="Normal"/>
    <w:next w:val="Normal"/>
    <w:autoRedefine/>
    <w:semiHidden/>
    <w:rsid w:val="00277306"/>
    <w:pPr>
      <w:ind w:left="1680"/>
    </w:pPr>
  </w:style>
  <w:style w:type="paragraph" w:styleId="TOC9">
    <w:name w:val="toc 9"/>
    <w:basedOn w:val="Normal"/>
    <w:next w:val="Normal"/>
    <w:autoRedefine/>
    <w:semiHidden/>
    <w:rsid w:val="00277306"/>
    <w:pPr>
      <w:ind w:left="1920"/>
    </w:pPr>
  </w:style>
  <w:style w:type="paragraph" w:styleId="BodyTextFirstIndent">
    <w:name w:val="Body Text First Indent"/>
    <w:basedOn w:val="Normal"/>
    <w:semiHidden/>
    <w:rsid w:val="00277306"/>
    <w:pPr>
      <w:spacing w:after="120"/>
      <w:ind w:firstLine="210"/>
    </w:pPr>
  </w:style>
  <w:style w:type="paragraph" w:styleId="BodyTextIndent">
    <w:name w:val="Body Text Indent"/>
    <w:basedOn w:val="Normal"/>
    <w:semiHidden/>
    <w:rsid w:val="00277306"/>
    <w:pPr>
      <w:spacing w:after="120"/>
      <w:ind w:left="360"/>
    </w:pPr>
  </w:style>
  <w:style w:type="paragraph" w:styleId="BodyTextFirstIndent2">
    <w:name w:val="Body Text First Indent 2"/>
    <w:basedOn w:val="Normal"/>
    <w:semiHidden/>
    <w:rsid w:val="00277306"/>
    <w:pPr>
      <w:ind w:firstLine="210"/>
    </w:pPr>
  </w:style>
  <w:style w:type="paragraph" w:styleId="Signature">
    <w:name w:val="Signature"/>
    <w:basedOn w:val="Normal"/>
    <w:semiHidden/>
    <w:rsid w:val="00277306"/>
    <w:pPr>
      <w:ind w:left="4320"/>
    </w:pPr>
  </w:style>
  <w:style w:type="paragraph" w:customStyle="1" w:styleId="CaptionText">
    <w:name w:val="Caption Text"/>
    <w:basedOn w:val="Normal"/>
    <w:rsid w:val="0057631A"/>
    <w:pPr>
      <w:widowControl w:val="0"/>
      <w:spacing w:line="235" w:lineRule="exact"/>
    </w:pPr>
    <w:rPr>
      <w:sz w:val="26"/>
    </w:rPr>
  </w:style>
  <w:style w:type="paragraph" w:customStyle="1" w:styleId="WKGBodyText">
    <w:name w:val="WKG BodyText"/>
    <w:basedOn w:val="Normal"/>
    <w:rsid w:val="00277306"/>
  </w:style>
  <w:style w:type="paragraph" w:customStyle="1" w:styleId="WKGBodyText2">
    <w:name w:val="WKG BodyText2"/>
    <w:basedOn w:val="Normal"/>
    <w:rsid w:val="00277306"/>
    <w:pPr>
      <w:spacing w:line="480" w:lineRule="atLeast"/>
      <w:ind w:firstLine="720"/>
    </w:pPr>
  </w:style>
  <w:style w:type="paragraph" w:customStyle="1" w:styleId="WKGQuote">
    <w:name w:val="WKG Quote"/>
    <w:basedOn w:val="Normal"/>
    <w:next w:val="Normal"/>
    <w:rsid w:val="00277306"/>
    <w:pPr>
      <w:spacing w:before="180" w:after="60"/>
      <w:ind w:left="720" w:right="720"/>
    </w:pPr>
  </w:style>
  <w:style w:type="paragraph" w:customStyle="1" w:styleId="WKGTextAfterQuote">
    <w:name w:val="WKG TextAfterQuote"/>
    <w:basedOn w:val="Normal"/>
    <w:next w:val="WKGBodyText2"/>
    <w:rsid w:val="00277306"/>
    <w:pPr>
      <w:spacing w:line="480" w:lineRule="atLeast"/>
    </w:pPr>
  </w:style>
  <w:style w:type="character" w:styleId="Hyperlink">
    <w:name w:val="Hyperlink"/>
    <w:basedOn w:val="DefaultParagraphFont"/>
    <w:semiHidden/>
    <w:rsid w:val="009A5F87"/>
    <w:rPr>
      <w:color w:val="0000FF"/>
      <w:u w:val="single"/>
    </w:rPr>
  </w:style>
  <w:style w:type="character" w:styleId="FootnoteReference">
    <w:name w:val="footnote reference"/>
    <w:basedOn w:val="DefaultParagraphFont"/>
    <w:uiPriority w:val="99"/>
    <w:rsid w:val="00747526"/>
    <w:rPr>
      <w:vertAlign w:val="superscript"/>
    </w:rPr>
  </w:style>
  <w:style w:type="character" w:customStyle="1" w:styleId="FootnoteTextChar">
    <w:name w:val="Footnote Text Char"/>
    <w:basedOn w:val="DefaultParagraphFont"/>
    <w:link w:val="FootnoteText"/>
    <w:uiPriority w:val="99"/>
    <w:rsid w:val="00C7121F"/>
  </w:style>
  <w:style w:type="character" w:customStyle="1" w:styleId="FooterChar">
    <w:name w:val="Footer Char"/>
    <w:basedOn w:val="DefaultParagraphFont"/>
    <w:link w:val="Footer"/>
    <w:uiPriority w:val="99"/>
    <w:rsid w:val="00F16A2C"/>
    <w:rPr>
      <w:sz w:val="24"/>
    </w:rPr>
  </w:style>
  <w:style w:type="paragraph" w:styleId="ListParagraph">
    <w:name w:val="List Paragraph"/>
    <w:basedOn w:val="Normal"/>
    <w:uiPriority w:val="34"/>
    <w:qFormat/>
    <w:rsid w:val="00AD3306"/>
    <w:pPr>
      <w:ind w:left="720"/>
      <w:contextualSpacing/>
    </w:pPr>
  </w:style>
  <w:style w:type="paragraph" w:customStyle="1" w:styleId="3InchHeading">
    <w:name w:val="3 Inch Heading"/>
    <w:basedOn w:val="Normal"/>
    <w:link w:val="3InchHeadingChar"/>
    <w:rsid w:val="00CA2CCF"/>
    <w:pPr>
      <w:spacing w:before="3720" w:after="720" w:line="240" w:lineRule="auto"/>
      <w:jc w:val="center"/>
    </w:pPr>
    <w:rPr>
      <w:rFonts w:eastAsiaTheme="minorHAnsi"/>
    </w:rPr>
  </w:style>
  <w:style w:type="character" w:customStyle="1" w:styleId="3InchHeadingChar">
    <w:name w:val="3 Inch Heading Char"/>
    <w:basedOn w:val="DefaultParagraphFont"/>
    <w:link w:val="3InchHeading"/>
    <w:rsid w:val="00CA2CCF"/>
    <w:rPr>
      <w:rFonts w:eastAsiaTheme="minorHAnsi"/>
      <w:sz w:val="24"/>
      <w:szCs w:val="24"/>
    </w:rPr>
  </w:style>
  <w:style w:type="character" w:styleId="PlaceholderText">
    <w:name w:val="Placeholder Text"/>
    <w:basedOn w:val="DefaultParagraphFont"/>
    <w:uiPriority w:val="99"/>
    <w:semiHidden/>
    <w:rsid w:val="00CA2CCF"/>
    <w:rPr>
      <w:color w:val="808080"/>
    </w:rPr>
  </w:style>
  <w:style w:type="paragraph" w:customStyle="1" w:styleId="OrderTitle">
    <w:name w:val="Order Title"/>
    <w:link w:val="OrderTitleChar"/>
    <w:qFormat/>
    <w:rsid w:val="00CA2CCF"/>
    <w:rPr>
      <w:rFonts w:eastAsiaTheme="minorHAnsi"/>
      <w:caps/>
      <w:szCs w:val="26"/>
    </w:rPr>
  </w:style>
  <w:style w:type="character" w:customStyle="1" w:styleId="OrderTitleChar">
    <w:name w:val="Order Title Char"/>
    <w:basedOn w:val="DefaultParagraphFont"/>
    <w:link w:val="OrderTitle"/>
    <w:rsid w:val="00CA2CCF"/>
    <w:rPr>
      <w:rFonts w:eastAsiaTheme="minorHAnsi"/>
      <w:caps/>
      <w:sz w:val="24"/>
      <w:szCs w:val="26"/>
    </w:rPr>
  </w:style>
  <w:style w:type="paragraph" w:styleId="BalloonText">
    <w:name w:val="Balloon Text"/>
    <w:basedOn w:val="Normal"/>
    <w:link w:val="BalloonTextChar"/>
    <w:rsid w:val="00CA2CC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A2CCF"/>
    <w:rPr>
      <w:rFonts w:ascii="Tahoma" w:hAnsi="Tahoma" w:cs="Tahoma"/>
      <w:sz w:val="16"/>
      <w:szCs w:val="16"/>
    </w:rPr>
  </w:style>
  <w:style w:type="paragraph" w:customStyle="1" w:styleId="Body">
    <w:name w:val="Body"/>
    <w:basedOn w:val="Normal"/>
    <w:link w:val="BodyChar"/>
    <w:qFormat/>
    <w:rsid w:val="00416FCB"/>
    <w:pPr>
      <w:autoSpaceDE w:val="0"/>
      <w:autoSpaceDN w:val="0"/>
      <w:adjustRightInd w:val="0"/>
      <w:spacing w:line="480" w:lineRule="auto"/>
      <w:ind w:firstLine="720"/>
    </w:pPr>
    <w:rPr>
      <w:szCs w:val="22"/>
    </w:rPr>
  </w:style>
  <w:style w:type="character" w:customStyle="1" w:styleId="BodyChar">
    <w:name w:val="Body Char"/>
    <w:basedOn w:val="DefaultParagraphFont"/>
    <w:link w:val="Body"/>
    <w:rsid w:val="00416FCB"/>
    <w:rPr>
      <w:sz w:val="24"/>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72" w:type="dxa"/>
        <w:left w:w="360" w:type="dxa"/>
        <w:right w:w="360" w:type="dxa"/>
      </w:tblCellMar>
    </w:tblPr>
  </w:style>
  <w:style w:type="character" w:styleId="UnresolvedMention">
    <w:name w:val="Unresolved Mention"/>
    <w:basedOn w:val="DefaultParagraphFont"/>
    <w:uiPriority w:val="99"/>
    <w:semiHidden/>
    <w:unhideWhenUsed/>
    <w:rsid w:val="00A85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286733">
      <w:bodyDiv w:val="1"/>
      <w:marLeft w:val="0"/>
      <w:marRight w:val="0"/>
      <w:marTop w:val="0"/>
      <w:marBottom w:val="0"/>
      <w:divBdr>
        <w:top w:val="none" w:sz="0" w:space="0" w:color="auto"/>
        <w:left w:val="none" w:sz="0" w:space="0" w:color="auto"/>
        <w:bottom w:val="none" w:sz="0" w:space="0" w:color="auto"/>
        <w:right w:val="none" w:sz="0" w:space="0" w:color="auto"/>
      </w:divBdr>
    </w:div>
    <w:div w:id="1175027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law.cornell.edu/definitions/uscode.php?width=840&amp;height=800&amp;iframe=true&amp;def_id=15-USC-3079315-644019126&amp;term_occur=999&amp;term_src=title:15:chapter:41:subchapter:V:section:1692d" TargetMode="External"/><Relationship Id="rId4" Type="http://schemas.openxmlformats.org/officeDocument/2006/relationships/styles" Target="styles.xml"/><Relationship Id="rId9" Type="http://schemas.openxmlformats.org/officeDocument/2006/relationships/hyperlink" Target="https://www.law.cornell.edu/definitions/uscode.php?width=840&amp;height=800&amp;iframe=true&amp;def_id=15-USC-3079315-644019126&amp;term_occur=999&amp;term_src=title:15:chapter:41:subchapter:V:section:1692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hm62x9drNIX7PIMaMx5eKdA0N2w==">AMUW2mVbMlfkeAteWrn+YK0g/XiRW59WSxiAiAX2A2LumKGTUj3oEGuJgIr0FXTTju/dwRW0do+LCf4eLrxacQpwi1dByjnniviKJM+YnbEwaY7Ufl6Y4Lk=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1C0CA1B-A7C7-4A18-A9A7-1B8CA717D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14</Pages>
  <Words>3475</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Johnson</dc:creator>
  <cp:keywords/>
  <dc:description/>
  <cp:lastModifiedBy>gary mitchell</cp:lastModifiedBy>
  <cp:revision>1</cp:revision>
  <cp:lastPrinted>2023-07-25T07:15:00Z</cp:lastPrinted>
  <dcterms:created xsi:type="dcterms:W3CDTF">2024-04-30T02:40:00Z</dcterms:created>
  <dcterms:modified xsi:type="dcterms:W3CDTF">2024-09-16T13:05:00Z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0x010100B5BD222BD3699D4CA3871C4E71F8785D</vt:lpwstr>
  </property>
</Properties>
</file>