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sz w:val="44"/>
          <w:szCs w:val="44"/>
          <w:rtl w:val="0"/>
        </w:rPr>
        <w:t>Έγγραφο</w:t>
      </w:r>
      <w:r>
        <w:rPr>
          <w:sz w:val="44"/>
          <w:szCs w:val="44"/>
          <w:rtl w:val="0"/>
          <w:lang w:val="en-US"/>
        </w:rPr>
        <w:t xml:space="preserve"> </w:t>
      </w:r>
      <w:r>
        <w:rPr>
          <w:sz w:val="44"/>
          <w:szCs w:val="44"/>
          <w:rtl w:val="0"/>
        </w:rPr>
        <w:t>απαιτήσεων</w:t>
      </w:r>
      <w:r>
        <w:rPr>
          <w:sz w:val="44"/>
          <w:szCs w:val="44"/>
          <w:rtl w:val="0"/>
          <w:lang w:val="en-US"/>
        </w:rPr>
        <w:t xml:space="preserve"> </w:t>
      </w:r>
      <w:r>
        <w:rPr>
          <w:sz w:val="44"/>
          <w:szCs w:val="44"/>
          <w:rtl w:val="0"/>
        </w:rPr>
        <w:t>εμπλεκομένων</w:t>
      </w:r>
      <w:r>
        <w:rPr>
          <w:sz w:val="44"/>
          <w:szCs w:val="44"/>
          <w:rtl w:val="0"/>
          <w:lang w:val="en-US"/>
        </w:rPr>
        <w:t xml:space="preserve"> </w:t>
      </w:r>
      <w:r>
        <w:rPr>
          <w:sz w:val="44"/>
          <w:szCs w:val="44"/>
          <w:rtl w:val="0"/>
        </w:rPr>
        <w:t>μερών</w:t>
      </w:r>
      <w:r>
        <w:rPr>
          <w:sz w:val="44"/>
          <w:szCs w:val="44"/>
          <w:rtl w:val="0"/>
          <w:lang w:val="en-US"/>
        </w:rPr>
        <w:t xml:space="preserve"> (StRS)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rtl w:val="0"/>
          <w:lang w:val="en-US"/>
        </w:rPr>
        <w:t>Stakeholders Requirements Specification</w:t>
      </w:r>
    </w:p>
    <w:p>
      <w:pPr>
        <w:pStyle w:val="Description"/>
      </w:pPr>
    </w:p>
    <w:p>
      <w:pPr>
        <w:pStyle w:val="Subtitle"/>
      </w:pPr>
      <w:r>
        <w:rPr>
          <w:rtl w:val="0"/>
          <w:lang w:val="pt-PT"/>
        </w:rPr>
        <w:t>[</w:t>
      </w:r>
      <w:r>
        <w:rPr>
          <w:rtl w:val="0"/>
        </w:rPr>
        <w:t xml:space="preserve">Υπουργείο Υποδομών και Μεταφορών </w:t>
      </w:r>
      <w:r>
        <w:rPr>
          <w:rtl w:val="0"/>
        </w:rPr>
        <w:t xml:space="preserve">- </w:t>
      </w:r>
      <w:r>
        <w:rPr>
          <w:rtl w:val="0"/>
          <w:lang w:val="en-US"/>
        </w:rPr>
        <w:t>Transportation Authorities</w:t>
      </w:r>
      <w:r>
        <w:rPr>
          <w:rtl w:val="0"/>
          <w:lang w:val="pt-PT"/>
        </w:rPr>
        <w:t>]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Σύνοψη επιχειρησιακού περιβάλλοντος</w:t>
      </w:r>
    </w:p>
    <w:p>
      <w:pPr>
        <w:pStyle w:val="Heading 2"/>
      </w:pPr>
      <w:r>
        <w:rPr>
          <w:rtl w:val="0"/>
        </w:rPr>
        <w:t>1.1</w:t>
        <w:tab/>
      </w:r>
      <w:r>
        <w:rPr>
          <w:rtl w:val="0"/>
        </w:rPr>
        <w:t xml:space="preserve">Επιχειρησιακοί στόχοι </w:t>
      </w:r>
    </w:p>
    <w:p>
      <w:pPr>
        <w:pStyle w:val="Body"/>
        <w:jc w:val="both"/>
      </w:pPr>
      <w:r>
        <w:rPr>
          <w:rtl w:val="0"/>
        </w:rPr>
        <w:t>Στόχος του Υπουργείου Υποδομών και Μεταφορών είναι η απόκτηση στατιστικών στοιχείων που αφορούν στις διελεύσεις που γίνονται από οχήματα</w:t>
      </w:r>
      <w:r>
        <w:rPr>
          <w:rtl w:val="0"/>
        </w:rPr>
        <w:t xml:space="preserve">, </w:t>
      </w:r>
      <w:r>
        <w:rPr>
          <w:rtl w:val="0"/>
        </w:rPr>
        <w:t xml:space="preserve">των οποίων ο πομποδέκτης ανήκει σε ένα δίκτυο αυτοκινητόδρομων </w:t>
      </w:r>
      <w:r>
        <w:rPr>
          <w:rtl w:val="0"/>
        </w:rPr>
        <w:t>(</w:t>
      </w:r>
      <w:r>
        <w:rPr>
          <w:rtl w:val="0"/>
          <w:lang w:val="en-US"/>
        </w:rPr>
        <w:t>operatorID1)</w:t>
      </w:r>
      <w:r>
        <w:rPr>
          <w:rtl w:val="0"/>
        </w:rPr>
        <w:t xml:space="preserve">, </w:t>
      </w:r>
      <w:r>
        <w:rPr>
          <w:rtl w:val="0"/>
        </w:rPr>
        <w:t xml:space="preserve">προς ένα άλλο δίκτυο αυτοκινητόδρομων </w:t>
      </w:r>
      <w:r>
        <w:rPr>
          <w:rtl w:val="0"/>
          <w:lang w:val="en-US"/>
        </w:rPr>
        <w:t>(operatorID2).</w:t>
      </w:r>
      <w:r>
        <w:rPr>
          <w:rtl w:val="0"/>
        </w:rPr>
        <w:t xml:space="preserve"> Ταυτόχρονα</w:t>
      </w:r>
      <w:r>
        <w:rPr>
          <w:rtl w:val="0"/>
        </w:rPr>
        <w:t xml:space="preserve">, </w:t>
      </w:r>
      <w:r>
        <w:rPr>
          <w:rtl w:val="0"/>
        </w:rPr>
        <w:t>στόχο αποτελεί η ενημέρωση και απόκτηση των αντίστοιχων στατιστικών δεδομένων που αφορούν το κέρδος ενός δικτύου αυτοκινητόδρομων από ένα άλλο δίκτυο αυτοκινητόδρομων</w:t>
      </w:r>
      <w:r>
        <w:rPr>
          <w:rtl w:val="0"/>
        </w:rPr>
        <w:t xml:space="preserve">. </w:t>
      </w:r>
      <w:r>
        <w:rPr>
          <w:rtl w:val="0"/>
        </w:rPr>
        <w:t>Με τον τρόπο αυτό</w:t>
      </w:r>
      <w:r>
        <w:rPr>
          <w:rtl w:val="0"/>
        </w:rPr>
        <w:t xml:space="preserve">, </w:t>
      </w:r>
      <w:r>
        <w:rPr>
          <w:rtl w:val="0"/>
        </w:rPr>
        <w:t>λαμβάνονται πληροφορίες σχετικά με την τάση μετακίνησης των πολιτών μεταξύ ευρύτερων περιοχών της χώρας ανά ορισμένο χρονικό διάστημα</w:t>
      </w:r>
      <w:r>
        <w:rPr>
          <w:rtl w:val="0"/>
        </w:rPr>
        <w:t xml:space="preserve">. </w:t>
      </w:r>
      <w:r>
        <w:rPr>
          <w:rtl w:val="0"/>
        </w:rPr>
        <w:t>Για παράδειγμα</w:t>
      </w:r>
      <w:r>
        <w:rPr>
          <w:rtl w:val="0"/>
        </w:rPr>
        <w:t xml:space="preserve">, </w:t>
      </w:r>
      <w:r>
        <w:rPr>
          <w:rtl w:val="0"/>
        </w:rPr>
        <w:t>γνωρίζοντας τα δεδομένα που προκύπτουν από την ανάλυση οφειλών μεταξύ των διοδίων της Αττικής Οδού και της Εγνατίας Οδού</w:t>
      </w:r>
      <w:r>
        <w:rPr>
          <w:rtl w:val="0"/>
        </w:rPr>
        <w:t xml:space="preserve">, </w:t>
      </w:r>
      <w:r>
        <w:rPr>
          <w:rtl w:val="0"/>
        </w:rPr>
        <w:t>μπορεί το υπουργείο να ενημερωθεί σχετικά με τη ροή μετακίνησης από τον νομό Αττικής σε άλλο νομό στη διάρκεια μίας τουριστικής ή μη περιόδου</w:t>
      </w:r>
      <w:r>
        <w:rPr>
          <w:rtl w:val="0"/>
        </w:rPr>
        <w:t xml:space="preserve">, </w:t>
      </w:r>
      <w:r>
        <w:rPr>
          <w:rtl w:val="0"/>
        </w:rPr>
        <w:t xml:space="preserve">ώστε να προβλέψει τη διασπορά της νόσου </w:t>
      </w:r>
      <w:r>
        <w:rPr>
          <w:rtl w:val="0"/>
          <w:lang w:val="en-US"/>
        </w:rPr>
        <w:t xml:space="preserve">Covid-19 </w:t>
      </w:r>
      <w:r>
        <w:rPr>
          <w:rtl w:val="0"/>
        </w:rPr>
        <w:t>μεταξύ των περιοχών της χώρας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Heading 2"/>
      </w:pPr>
      <w:r>
        <w:rPr>
          <w:rtl w:val="0"/>
        </w:rPr>
        <w:t>1.2</w:t>
        <w:tab/>
      </w:r>
      <w:r>
        <w:rPr>
          <w:rtl w:val="0"/>
        </w:rPr>
        <w:t>Περίγραμμα επιχειρησιακών λειτουργιών</w:t>
      </w:r>
    </w:p>
    <w:p>
      <w:pPr>
        <w:pStyle w:val="Body"/>
        <w:jc w:val="both"/>
      </w:pPr>
      <w:r>
        <w:rPr>
          <w:rtl w:val="0"/>
        </w:rPr>
        <w:t xml:space="preserve">Το πλάνο των στόχων και λειτουργιών για το Υπουργείο Υποδομών και Μεταφορών περιλαμβάνει τη λήψη των επιθυμητών δεδομένων </w:t>
      </w:r>
      <w:r>
        <w:rPr>
          <w:rtl w:val="0"/>
        </w:rPr>
        <w:t>(</w:t>
      </w:r>
      <w:r>
        <w:rPr>
          <w:rtl w:val="0"/>
        </w:rPr>
        <w:t>ανάλυση οφειλών</w:t>
      </w:r>
      <w:r>
        <w:rPr>
          <w:rtl w:val="0"/>
        </w:rPr>
        <w:t xml:space="preserve">, </w:t>
      </w:r>
      <w:r>
        <w:rPr>
          <w:rtl w:val="0"/>
        </w:rPr>
        <w:t>κινήσεις οχημάτων μεταξύ αυτοκινητόδρομων σε πίνακα</w:t>
      </w:r>
      <w:r>
        <w:rPr>
          <w:rtl w:val="0"/>
        </w:rPr>
        <w:t xml:space="preserve">, </w:t>
      </w:r>
      <w:r>
        <w:rPr>
          <w:rtl w:val="0"/>
        </w:rPr>
        <w:t>κλπ</w:t>
      </w:r>
      <w:r>
        <w:rPr>
          <w:rtl w:val="0"/>
        </w:rPr>
        <w:t xml:space="preserve">) </w:t>
      </w:r>
      <w:r>
        <w:rPr>
          <w:rtl w:val="0"/>
        </w:rPr>
        <w:t>εύκολα και έγκαιρα από την εφαρμογή</w:t>
      </w:r>
      <w:r>
        <w:rPr>
          <w:rtl w:val="0"/>
        </w:rPr>
        <w:t xml:space="preserve">, </w:t>
      </w:r>
      <w:r>
        <w:rPr>
          <w:rtl w:val="0"/>
        </w:rPr>
        <w:t>τη μελέτη και αξιοποίηση τους για τη σωστότερη εκτίμηση της ροής κίνησης στα οδικά δίκτυα της χώρας</w:t>
      </w:r>
      <w:r>
        <w:rPr>
          <w:rtl w:val="0"/>
        </w:rPr>
        <w:t xml:space="preserve">. </w:t>
      </w:r>
      <w:r>
        <w:rPr>
          <w:rtl w:val="0"/>
        </w:rPr>
        <w:t>Με τον τρόπο αυτό</w:t>
      </w:r>
      <w:r>
        <w:rPr>
          <w:rtl w:val="0"/>
        </w:rPr>
        <w:t xml:space="preserve">, </w:t>
      </w:r>
      <w:r>
        <w:rPr>
          <w:rtl w:val="0"/>
        </w:rPr>
        <w:t>θα καθίσταται πιο εύστοχος ο προγραμματισμός της συντήρησης του δικτύου αυτοκινητόδρομων</w:t>
      </w:r>
      <w:r>
        <w:rPr>
          <w:rtl w:val="0"/>
        </w:rPr>
        <w:t xml:space="preserve">, </w:t>
      </w:r>
      <w:r>
        <w:rPr>
          <w:rtl w:val="0"/>
        </w:rPr>
        <w:t>της πιθανής επέκτασης των αυτοκινητόδρομων με βάση τις ανάγκες μετακίνησης των πολιτών και της εγκατάστασης νέων σταθμών διοδίων</w:t>
      </w:r>
      <w:r>
        <w:rPr>
          <w:rtl w:val="0"/>
        </w:rPr>
        <w:t xml:space="preserve">. </w:t>
      </w:r>
    </w:p>
    <w:p>
      <w:pPr>
        <w:pStyle w:val="Body"/>
        <w:jc w:val="both"/>
      </w:pPr>
      <w:r>
        <w:rPr>
          <w:rtl w:val="0"/>
        </w:rPr>
        <w:t>Βέβαια</w:t>
      </w:r>
      <w:r>
        <w:rPr>
          <w:rtl w:val="0"/>
        </w:rPr>
        <w:t xml:space="preserve">, </w:t>
      </w:r>
      <w:r>
        <w:rPr>
          <w:rtl w:val="0"/>
        </w:rPr>
        <w:t xml:space="preserve">καθώς οι πληροφορίες αυτές αφορούν μόνο τις διελεύσεις πολιτών που γίνονται με τη χρήση </w:t>
      </w:r>
      <w:r>
        <w:rPr>
          <w:rtl w:val="0"/>
          <w:lang w:val="en-US"/>
        </w:rPr>
        <w:t>e-pass</w:t>
      </w:r>
      <w:r>
        <w:rPr>
          <w:rtl w:val="0"/>
        </w:rPr>
        <w:t xml:space="preserve">, </w:t>
      </w:r>
      <w:r>
        <w:rPr>
          <w:rtl w:val="0"/>
        </w:rPr>
        <w:t>τα δεδομένα αυτά έχουν συμπληρωματικό χαρακτήρα</w:t>
      </w:r>
      <w:r>
        <w:rPr>
          <w:rtl w:val="0"/>
        </w:rPr>
        <w:t xml:space="preserve">, </w:t>
      </w:r>
      <w:r>
        <w:rPr>
          <w:rtl w:val="0"/>
        </w:rPr>
        <w:t>όμως αποτελούν ένα αξιόπιστο μέτρο για την εκτίμηση της κίνησης των πολιτών μεταξύ νομών</w:t>
      </w:r>
      <w:r>
        <w:rPr>
          <w:rtl w:val="0"/>
        </w:rPr>
        <w:t>/</w:t>
      </w:r>
      <w:r>
        <w:rPr>
          <w:rtl w:val="0"/>
        </w:rPr>
        <w:t>περιφερειών</w:t>
      </w:r>
      <w:r>
        <w:rPr>
          <w:rtl w:val="0"/>
        </w:rPr>
        <w:t>/</w:t>
      </w:r>
      <w:r>
        <w:rPr>
          <w:rtl w:val="0"/>
        </w:rPr>
        <w:t>γεωγραφικών διαμερισμάτων της χώρας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Heading 2"/>
      </w:pPr>
    </w:p>
    <w:p>
      <w:pPr>
        <w:pStyle w:val="Heading 2"/>
      </w:pPr>
      <w:r>
        <w:rPr>
          <w:rtl w:val="0"/>
        </w:rPr>
        <w:t>1.3</w:t>
        <w:tab/>
        <w:tab/>
      </w:r>
      <w:r>
        <w:rPr>
          <w:rtl w:val="0"/>
        </w:rPr>
        <w:t>Δείκτες ποιότητας</w:t>
      </w:r>
    </w:p>
    <w:p>
      <w:pPr>
        <w:pStyle w:val="Body"/>
        <w:jc w:val="both"/>
      </w:pPr>
      <w:r>
        <w:rPr>
          <w:rtl w:val="0"/>
        </w:rPr>
        <w:t>Δείκτη ποιότητας αποτελεί η ά</w:t>
      </w:r>
      <w:r>
        <w:rPr>
          <w:rtl w:val="0"/>
        </w:rPr>
        <w:t>μεση και εύκολη εύρεση των ζητούμενων στοιχείων</w:t>
      </w:r>
      <w:r>
        <w:rPr>
          <w:rtl w:val="0"/>
        </w:rPr>
        <w:t xml:space="preserve">, </w:t>
      </w:r>
      <w:r>
        <w:rPr>
          <w:rtl w:val="0"/>
        </w:rPr>
        <w:t>όπως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416559</wp:posOffset>
                </wp:positionV>
                <wp:extent cx="5727701" cy="3725557"/>
                <wp:effectExtent l="0" t="0" r="0" b="0"/>
                <wp:wrapTopAndBottom distT="152400" distB="15240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1" cy="3725557"/>
                          <a:chOff x="0" y="0"/>
                          <a:chExt cx="5727700" cy="3725556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1" cy="33715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3473177"/>
                            <a:ext cx="5727701" cy="25238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  <w:rtl w:val="0"/>
                                  <w:lang w:val="en-US"/>
                                </w:rPr>
                                <w:t xml:space="preserve">BPMN </w:t>
                              </w:r>
                              <w:r>
                                <w:rPr>
                                  <w:rFonts w:ascii="Calibri" w:hAnsi="Calibri" w:hint="default"/>
                                  <w:sz w:val="22"/>
                                  <w:szCs w:val="22"/>
                                  <w:rtl w:val="0"/>
                                </w:rPr>
                                <w:t xml:space="preserve">για τον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  <w:rtl w:val="0"/>
                                  <w:lang w:val="en-US"/>
                                </w:rPr>
                                <w:t>stakeholder Transportation Authorities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32.8pt;width:451.0pt;height:293.4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727700,3725556">
                <w10:wrap type="topAndBottom" side="bothSides" anchorx="margin" anchory="page"/>
                <v:shape id="_x0000_s1027" type="#_x0000_t75" style="position:absolute;left:0;top:0;width:5727700;height:3371578;">
                  <v:imagedata r:id="rId4" o:title="Screenshot 2021-11-21 at 18.17.21.png"/>
                </v:shape>
                <v:roundrect id="_x0000_s1028" style="position:absolute;left:0;top:3473178;width:5727700;height:252379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  <w:rtl w:val="0"/>
                            <w:lang w:val="en-US"/>
                          </w:rPr>
                          <w:t xml:space="preserve">BPMN </w:t>
                        </w:r>
                        <w:r>
                          <w:rPr>
                            <w:rFonts w:ascii="Calibri" w:hAnsi="Calibri" w:hint="default"/>
                            <w:sz w:val="22"/>
                            <w:szCs w:val="22"/>
                            <w:rtl w:val="0"/>
                          </w:rPr>
                          <w:t xml:space="preserve">για τον 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  <w:rtl w:val="0"/>
                            <w:lang w:val="en-US"/>
                          </w:rPr>
                          <w:t>stakeholder Transportation Authorities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tl w:val="0"/>
        </w:rPr>
        <w:t xml:space="preserve"> επίσης και η π</w:t>
      </w:r>
      <w:r>
        <w:rPr>
          <w:rtl w:val="0"/>
        </w:rPr>
        <w:t xml:space="preserve">αροχή έγκυρων και </w:t>
      </w:r>
      <w:r>
        <w:rPr>
          <w:rtl w:val="0"/>
        </w:rPr>
        <w:t>ενημερωμένων</w:t>
      </w:r>
      <w:r>
        <w:rPr>
          <w:rtl w:val="0"/>
        </w:rPr>
        <w:t xml:space="preserve"> δεδομένων οποιαδήποτε στιγμή αυτά ζητηθούν</w:t>
      </w:r>
      <w:r>
        <w:rPr>
          <w:rtl w:val="0"/>
        </w:rPr>
        <w:t xml:space="preserve">. </w:t>
      </w:r>
      <w:r>
        <w:rPr>
          <w:rtl w:val="0"/>
        </w:rPr>
        <w:t>Ταυτόχρονα</w:t>
      </w:r>
      <w:r>
        <w:rPr>
          <w:rtl w:val="0"/>
        </w:rPr>
        <w:t xml:space="preserve">, </w:t>
      </w:r>
      <w:r>
        <w:rPr>
          <w:rtl w:val="0"/>
        </w:rPr>
        <w:t>η δ</w:t>
      </w:r>
      <w:r>
        <w:rPr>
          <w:rtl w:val="0"/>
        </w:rPr>
        <w:t>ιαρκής τεχνική υποστήριξη του συστήματος</w:t>
      </w:r>
      <w:r>
        <w:rPr>
          <w:rtl w:val="0"/>
        </w:rPr>
        <w:t xml:space="preserve">, </w:t>
      </w:r>
      <w:r>
        <w:rPr>
          <w:rtl w:val="0"/>
        </w:rPr>
        <w:t>ώστε να επιλύονται άμεσα τυχόν σφάλματα στη λειτουργία του και να αποφεύγεται η παρακώλυση της διαδικασίας αναζήτησης δεδομένων</w:t>
      </w:r>
      <w:r>
        <w:rPr>
          <w:rtl w:val="0"/>
        </w:rPr>
        <w:t xml:space="preserve">, </w:t>
      </w:r>
      <w:r>
        <w:rPr>
          <w:rtl w:val="0"/>
        </w:rPr>
        <w:t>αποτελεί έναν ακόμη δείκτη ποιότητας</w:t>
      </w:r>
      <w:r>
        <w:rPr>
          <w:rtl w:val="0"/>
        </w:rPr>
        <w:t xml:space="preserve">. 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 xml:space="preserve">Αναφορές </w:t>
      </w:r>
      <w:r>
        <w:rPr>
          <w:rtl w:val="0"/>
          <w:lang w:val="ru-RU"/>
        </w:rPr>
        <w:t xml:space="preserve">- </w:t>
      </w:r>
      <w:r>
        <w:rPr>
          <w:rtl w:val="0"/>
        </w:rPr>
        <w:t>πηγές πληροφοριών</w:t>
      </w:r>
    </w:p>
    <w:p>
      <w:pPr>
        <w:pStyle w:val="Body"/>
      </w:pPr>
      <w:r>
        <w:rPr>
          <w:rtl w:val="0"/>
          <w:lang w:val="en-US"/>
        </w:rPr>
        <w:t>N/A.</w:t>
      </w:r>
    </w:p>
    <w:p>
      <w:pPr>
        <w:pStyle w:val="Body"/>
      </w:pPr>
    </w:p>
    <w:p>
      <w:pPr>
        <w:pStyle w:val="Heading"/>
        <w:numPr>
          <w:ilvl w:val="0"/>
          <w:numId w:val="2"/>
        </w:numPr>
      </w:pPr>
      <w:r>
        <w:rPr>
          <w:rtl w:val="0"/>
        </w:rPr>
        <w:t>Έκθεση απαιτήσεων χρηστών</w:t>
      </w:r>
    </w:p>
    <w:p>
      <w:pPr>
        <w:pStyle w:val="Body"/>
        <w:jc w:val="both"/>
      </w:pPr>
      <w:r>
        <w:rPr>
          <w:rtl w:val="0"/>
        </w:rPr>
        <w:t>Το Υπουργείο Υποδομών και Μεταφορών αποτελεί έναν ενδιαφερόμενο στη διαλειτουργικότητα των διοδίων</w:t>
      </w:r>
      <w:r>
        <w:rPr>
          <w:rtl w:val="0"/>
        </w:rPr>
        <w:t xml:space="preserve">, </w:t>
      </w:r>
      <w:r>
        <w:rPr>
          <w:rtl w:val="0"/>
        </w:rPr>
        <w:t>ο οποίος λαμβάνοντας υπόψιν τα δεδομένα διελεύσεων μεταξύ διαφορετικών δικτύων αυτοκινητόδρομων προσαρμόζει τα ποιοτικά και ποσοτικά χαρακτηριστικά των υποδομών και υπηρεσιών του</w:t>
      </w:r>
      <w:r>
        <w:rPr>
          <w:rtl w:val="0"/>
        </w:rPr>
        <w:t xml:space="preserve">. </w:t>
      </w:r>
      <w:r>
        <w:rPr>
          <w:rtl w:val="0"/>
        </w:rPr>
        <w:t>Είναι απαραίτητο να παρέχονται έγκυρα και ενημερωμένα δεδομένα μέσα σε ένα περιβάλλον φιλικό προς τον χρήστη</w:t>
      </w:r>
      <w:r>
        <w:rPr>
          <w:rtl w:val="0"/>
        </w:rPr>
        <w:t xml:space="preserve">. </w:t>
      </w:r>
      <w:r>
        <w:rPr>
          <w:rtl w:val="0"/>
        </w:rPr>
        <w:t>Τόσο η ανάλυση των οφειλών μεταξύ των δικτύων αυτοκινητόδρομων</w:t>
      </w:r>
      <w:r>
        <w:rPr>
          <w:rtl w:val="0"/>
        </w:rPr>
        <w:t xml:space="preserve">, </w:t>
      </w:r>
      <w:r>
        <w:rPr>
          <w:rtl w:val="0"/>
        </w:rPr>
        <w:t>όσο και η απόκτηση των δεδομένων των κινήσεων πρέπει να βρίσκονται στη διάθεση του Υπουργείου Υποδομών και Μεταφορών σε κατάλληλη και εύχρηστη μορφή</w:t>
      </w:r>
      <w:r>
        <w:rPr>
          <w:rtl w:val="0"/>
        </w:rPr>
        <w:t>.</w:t>
      </w:r>
    </w:p>
    <w:p>
      <w:pPr>
        <w:pStyle w:val="Body"/>
      </w:pPr>
    </w:p>
    <w:p>
      <w:pPr>
        <w:pStyle w:val="Heading"/>
        <w:numPr>
          <w:ilvl w:val="0"/>
          <w:numId w:val="2"/>
        </w:numPr>
      </w:pPr>
      <w:r>
        <w:rPr>
          <w:rtl w:val="0"/>
        </w:rPr>
        <w:t>Περιορισμοί στο πλαίσιο του έργου</w:t>
      </w:r>
    </w:p>
    <w:p>
      <w:pPr>
        <w:pStyle w:val="Body"/>
        <w:jc w:val="both"/>
      </w:pPr>
      <w:r>
        <w:rPr>
          <w:rtl w:val="0"/>
        </w:rPr>
        <w:t xml:space="preserve">Καθώς οι πληροφορίες που λαμβάνει το συγκεκριμένο εμπλεκόμενο μέρος αφορούν μόνο τις διελεύσεις πολιτών που γίνονται με τη χρήση </w:t>
      </w:r>
      <w:r>
        <w:rPr>
          <w:rtl w:val="0"/>
          <w:lang w:val="en-US"/>
        </w:rPr>
        <w:t>e-pass</w:t>
      </w:r>
      <w:r>
        <w:rPr>
          <w:rtl w:val="0"/>
        </w:rPr>
        <w:t xml:space="preserve">, </w:t>
      </w:r>
      <w:r>
        <w:rPr>
          <w:rtl w:val="0"/>
        </w:rPr>
        <w:t>δεν αποτελούν το πιο αξιόπιστο μέτρο για την εκτίμηση της κίνησης μεταξύ περιοχών της χώρας</w:t>
      </w:r>
      <w:r>
        <w:rPr>
          <w:rtl w:val="0"/>
        </w:rPr>
        <w:t xml:space="preserve">. </w:t>
      </w:r>
      <w:r>
        <w:rPr>
          <w:rtl w:val="0"/>
        </w:rPr>
        <w:t>Είναι σε μεγάλο βαθμό χρήσιμα</w:t>
      </w:r>
      <w:r>
        <w:rPr>
          <w:rtl w:val="0"/>
        </w:rPr>
        <w:t xml:space="preserve">, </w:t>
      </w:r>
      <w:r>
        <w:rPr>
          <w:rtl w:val="0"/>
        </w:rPr>
        <w:t>αλλά η ανάλυση των οφειλών μεταξύ αυτοκινητόδρομων και τα δεδομένα κινήσεων</w:t>
      </w:r>
      <w:r>
        <w:rPr>
          <w:rtl w:val="0"/>
        </w:rPr>
        <w:t xml:space="preserve">, </w:t>
      </w:r>
      <w:r>
        <w:rPr>
          <w:rtl w:val="0"/>
        </w:rPr>
        <w:t>δεν μπορούν να αποτελέσουν τη μοναδική πηγή δεδομένων</w:t>
      </w:r>
      <w:r>
        <w:rPr>
          <w:rtl w:val="0"/>
        </w:rPr>
        <w:t xml:space="preserve">, </w:t>
      </w:r>
      <w:r>
        <w:rPr>
          <w:rtl w:val="0"/>
        </w:rPr>
        <w:t>αλλά έχουν συμπληρωματικό χαρακτήρα</w:t>
      </w:r>
      <w:r>
        <w:rPr>
          <w:rtl w:val="0"/>
        </w:rPr>
        <w:t>.</w:t>
      </w:r>
    </w:p>
    <w:p>
      <w:pPr>
        <w:pStyle w:val="Body"/>
        <w:jc w:val="both"/>
      </w:pPr>
      <w:r>
        <w:rPr>
          <w:rtl w:val="0"/>
        </w:rPr>
        <w:t>Ακόμη ένας περιορισμός είναι πως πιθανή βλάβη του συστήματος διαλειτουργικότητας</w:t>
      </w:r>
      <w:r>
        <w:rPr>
          <w:rtl w:val="0"/>
        </w:rPr>
        <w:t xml:space="preserve">, </w:t>
      </w:r>
      <w:r>
        <w:rPr>
          <w:rtl w:val="0"/>
        </w:rPr>
        <w:t>μπορεί να αποτελέσει εμπόδιο στην ποιότητα και πληρότητα των δεδομένων που λαμβάνει το Υπουργείο Υποδομών και Μεταφορών</w:t>
      </w:r>
      <w:r>
        <w:rPr>
          <w:rtl w:val="0"/>
        </w:rPr>
        <w:t>.</w:t>
      </w:r>
    </w:p>
    <w:p>
      <w:pPr>
        <w:pStyle w:val="Body"/>
      </w:pPr>
    </w:p>
    <w:p>
      <w:pPr>
        <w:pStyle w:val="Heading"/>
        <w:numPr>
          <w:ilvl w:val="0"/>
          <w:numId w:val="2"/>
        </w:numPr>
      </w:pPr>
      <w:r>
        <w:rPr>
          <w:rtl w:val="0"/>
        </w:rPr>
        <w:t>Παράρτημα</w:t>
      </w:r>
      <w:r>
        <w:rPr>
          <w:rtl w:val="0"/>
        </w:rPr>
        <w:t xml:space="preserve">: </w:t>
      </w:r>
      <w:r>
        <w:rPr>
          <w:rtl w:val="0"/>
        </w:rPr>
        <w:t xml:space="preserve">ακρωνύμια και συντομογραφίες </w:t>
      </w:r>
    </w:p>
    <w:p>
      <w:pPr>
        <w:pStyle w:val="Body"/>
      </w:pPr>
      <w:r>
        <w:rPr>
          <w:rtl w:val="0"/>
          <w:lang w:val="en-US"/>
        </w:rPr>
        <w:t>N/A.</w:t>
      </w: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9000"/>
        <w:tab w:val="clear" w:pos="9360"/>
      </w:tabs>
    </w:pPr>
    <w:r>
      <w:rPr>
        <w:sz w:val="18"/>
        <w:szCs w:val="18"/>
        <w:rtl w:val="0"/>
      </w:rPr>
      <w:t>ΟΜΑΔΑ</w:t>
      <w:tab/>
      <w:t xml:space="preserve">ΕΓΓΡΑΦΟ </w:t>
    </w:r>
    <w:r>
      <w:rPr>
        <w:sz w:val="18"/>
        <w:szCs w:val="18"/>
        <w:rtl w:val="0"/>
        <w:lang w:val="en-US"/>
      </w:rPr>
      <w:t>StRS</w:t>
    </w:r>
    <w:r>
      <w:rPr>
        <w:sz w:val="18"/>
        <w:szCs w:val="18"/>
        <w:rtl w:val="0"/>
      </w:rPr>
      <w:t xml:space="preserve"> (2021)</w:t>
    </w:r>
    <w:r>
      <w:rPr>
        <w:sz w:val="18"/>
        <w:szCs w:val="18"/>
        <w:lang w:val="en-US"/>
      </w:rPr>
      <w:tab/>
    </w:r>
    <w:r>
      <w:rPr>
        <w:sz w:val="18"/>
        <w:szCs w:val="18"/>
        <w:rtl w:val="0"/>
      </w:rPr>
      <w:t xml:space="preserve">Σελ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instrText xml:space="preserve"> PAGE </w:instrTex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</w:r>
    <w:r>
      <w:rPr>
        <w:sz w:val="18"/>
        <w:szCs w:val="18"/>
        <w:rtl w:val="0"/>
      </w:rPr>
      <w:fldChar w:fldCharType="end" w:fldLock="0"/>
    </w:r>
    <w:r>
      <w:rPr>
        <w:sz w:val="18"/>
        <w:szCs w:val="18"/>
        <w:rtl w:val="0"/>
      </w:rPr>
      <w:t xml:space="preserve"> / 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instrText xml:space="preserve"> NUMPAGES </w:instrTex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</w:r>
    <w:r>
      <w:rPr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8496b0"/>
      <w:spacing w:val="0"/>
      <w:kern w:val="0"/>
      <w:position w:val="0"/>
      <w:sz w:val="20"/>
      <w:szCs w:val="20"/>
      <w:u w:val="none" w:color="8496b0"/>
      <w:shd w:val="nil" w:color="auto" w:fill="auto"/>
      <w:vertAlign w:val="baseline"/>
      <w14:textFill>
        <w14:solidFill>
          <w14:srgbClr w14:val="8496B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8"/>
      <w:szCs w:val="28"/>
      <w:u w:val="none" w:color="5a5a5a"/>
      <w:shd w:val="nil" w:color="auto" w:fill="auto"/>
      <w:vertAlign w:val="baseline"/>
      <w:lang w:val="pt-PT"/>
      <w14:textOutline>
        <w14:noFill/>
      </w14:textOutline>
      <w14:textFill>
        <w14:solidFill>
          <w14:srgbClr w14:val="5A5A5A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567" w:right="0" w:hanging="567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