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sz w:val="34"/>
        </w:rPr>
        <w:t>If social work is applied practical philosophy, how do we apply philosophy practically?</w:t>
      </w:r>
    </w:p>
    <w:p>
      <w:r>
        <w:t>Benjamin Feasmen</w:t>
      </w:r>
    </w:p>
    <w:p>
      <w:r>
        <w:t>A student submits a reflective log at four o'clock on a Friday. It has six headings and all six are filled in: description, feelings, evaluation, analysis, conclusion, action plan. Nothing in it is untrue, and nothing in it has been thought. The form is complete. The reflection has not happened.</w:t>
      </w:r>
    </w:p>
    <w:p>
      <w:r>
        <w:t>Most of us have written one of those. Some of us have read a hundred. We teach reflection as an activity with a deadline attached, then ask people to be reflective practitioners, which is a capability, and we are surprised when the two do not meet.</w:t>
      </w:r>
    </w:p>
    <w:p>
      <w:r>
        <w:t>A competence question asks whether a worker can perform the task. A capability question asks whether they will keep learning once nobody is checking. Domain 6 of the Professional Capabilities Framework says that reflection 'enables us to challenge ourselves and others, and maintain our professional curiosity, creativity and self-awareness' (British Association of Social Workers (BASW), 2018, p. 8). It does not say how a person gets better at it, or how anyone would know they had.</w:t>
      </w:r>
    </w:p>
    <w:p>
      <w:pPr>
        <w:pStyle w:val="Heading2"/>
        <w:spacing w:before="320"/>
      </w:pPr>
      <w:r>
        <w:rPr>
          <w:rFonts w:ascii="Calibri" w:hAnsi="Calibri"/>
          <w:sz w:val="26"/>
        </w:rPr>
        <w:t>Socrates left a technique, not a syllabus</w:t>
      </w:r>
    </w:p>
    <w:p>
      <w:r>
        <w:t xml:space="preserve">Socrates, on trial in Athens and arguing for his life, said that the unexamined life is not worth living (Plato, </w:t>
      </w:r>
      <w:r>
        <w:rPr>
          <w:i/>
        </w:rPr>
        <w:t>Apology</w:t>
      </w:r>
      <w:r>
        <w:t>, 38a). The line now appears on training slides, usually to introduce a session about journalling.</w:t>
      </w:r>
    </w:p>
    <w:p>
      <w:r>
        <w:t>What he was defending was how he had spent his days: asking people what they meant by courage or justice, then testing the answer against a case it could not hold, and waiting while the other person worked out they had been carrying a belief without knowing what it rested on.</w:t>
      </w:r>
    </w:p>
    <w:p>
      <w:r>
        <w:t>I am not arguing that social workers should read more philosophy. Reading Plato will not improve a chronology. The inheritance worth having is the technique, and the technical understanding of how a belief is held and what makes it change. Educationalists have worked that into teachable form, and we largely ignore it.</w:t>
      </w:r>
    </w:p>
    <w:p>
      <w:pPr>
        <w:pStyle w:val="Heading2"/>
        <w:spacing w:before="320"/>
      </w:pPr>
      <w:r>
        <w:rPr>
          <w:rFonts w:ascii="Calibri" w:hAnsi="Calibri"/>
          <w:sz w:val="26"/>
        </w:rPr>
        <w:t>The models are the part we already teach</w:t>
      </w:r>
    </w:p>
    <w:p>
      <w:r>
        <w:t>The University of Edinburgh's Reflection Toolkit is the most usable synthesis of that work I have found, and it is free. It defines reflection as the conscious examination of experience in order to surface learning and bring meaning to the present and the future, and says that reflection challenges the status quo of practice, thoughts and assumptions (University of Edinburgh, no date a).</w:t>
      </w:r>
    </w:p>
    <w:p>
      <w:r>
        <w:t>The toolkit sets out the models: Gibbs' cycle, Driscoll's What? So what? Now what?, the Integrated Reflective Cycle (Bassot, 2013), and the 5R framework (Bain et al., 2002). The 5R framework is the most useful for teaching, because its stages are a scale of depth rather than a circuit. Reporting is the factual account. Responding is what you felt. Relating connects the event to previous experience and to patterns. Reasoning explains why it happened that way and brings in other perspectives. Reconstructing changes what you will do, with reasons.</w:t>
      </w:r>
    </w:p>
    <w:p>
      <w:r>
        <w:t>Almost every weak reflective log stops at Responding. The student describes the visit, says they found it difficult, and offers that as reflection because feelings are present.</w:t>
      </w:r>
    </w:p>
    <w:p>
      <w:r>
        <w:t>This much is taught. Every social worker in England has sat through a session on a model of reflection, and most can name one.</w:t>
      </w:r>
    </w:p>
    <w:p>
      <w:pPr>
        <w:pStyle w:val="Heading2"/>
        <w:spacing w:before="320"/>
      </w:pPr>
      <w:r>
        <w:rPr>
          <w:rFonts w:ascii="Calibri" w:hAnsi="Calibri"/>
          <w:sz w:val="26"/>
        </w:rPr>
        <w:t>Nobody teaches you to mark your own work</w:t>
      </w:r>
    </w:p>
    <w:p>
      <w:r>
        <w:t>Here is what is missing. A practitioner is taught a model and then left to use it for thirty years without ever being shown how to judge whether their own reflection is any good, or what to do about it if it is not.</w:t>
      </w:r>
    </w:p>
    <w:p>
      <w:r>
        <w:t>You cannot improve at something you cannot grade in yourself. Supervision is meant to supply that judgement and often does not, being dominated by case management, and where reflection is assessed it is assessed by somebody with power over you, which changes what you write. The capability has to become self-assessable, or it stays dependent on whoever happens to be supervising you this year.</w:t>
      </w:r>
    </w:p>
    <w:p>
      <w:r>
        <w:t>Moon (2004; 2006) provides the method. Rather than defining depth, she gives accounts of the same event written several times over, each one going further than the last, and invites you to read your own writing against them. It is an unusually honest exercise. You recognise your own reflective log in the second account, the one that explains everything and questions nothing, and no supervisor had to tell you.</w:t>
      </w:r>
    </w:p>
    <w:p>
      <w:r>
        <w:t>Moon also explains why writing more does not help. The depth a person can reach is limited by how they hold knowledge. A practitioner who treats knowledge as certain and held by authority uses reflection to check themselves against procedure, and their honest question is what they should have done. A practitioner who treats all accounts as equally valid can list every family member's perspective and cannot say what they think is happening. Neither writes deeply, however long the log is, because the limit is not effort.</w:t>
      </w:r>
    </w:p>
    <w:p>
      <w:r>
        <w:t>Edinburgh's assessment rubric is the second instrument, and there is no reason it should only be used on students. It scales from non-reflective through to critical reflection, with a second axis at the top distinguishing the kind of learning produced, and the toolkit notes that understanding why your practice works counts as much as generating new practice (University of Edinburgh, no date b). Mark your own last three supervision records against it before anybody else does.</w:t>
      </w:r>
    </w:p>
    <w:p>
      <w:pPr>
        <w:pStyle w:val="Heading2"/>
        <w:spacing w:before="320"/>
      </w:pPr>
      <w:r>
        <w:rPr>
          <w:rFonts w:ascii="Calibri" w:hAnsi="Calibri"/>
          <w:sz w:val="26"/>
        </w:rPr>
        <w:t>Challenging your own beliefs is the part that develops it</w:t>
      </w:r>
    </w:p>
    <w:p>
      <w:r>
        <w:t>Self-assessment tells you where you are. What moves you is testing beliefs you did not know you were holding, and there are techniques for it.</w:t>
      </w:r>
    </w:p>
    <w:p>
      <w:r>
        <w:t>Start with the gap between what you say you believe and what your practice shows you believe. Argyris and Schön (1974) called these espoused theory and theory-in-use, and the distance between them is the most productive material a practitioner has. Read your own recording from a case that went badly, ignore your stated reasons, and work out what someone would conclude you believed from your actions alone. About the family. About risk. About what your job is for.</w:t>
      </w:r>
    </w:p>
    <w:p>
      <w:r>
        <w:t>Then ask whether you are fixing the action or the assumption underneath it. Single-loop learning corrects the step that went wrong. Double-loop learning questions the governing value that made the step seem right (Argyris and Schön, 1978). 'I should have phoned before visiting' is single-loop. 'Why do I assume I need this family to like me at a first visit' is double-loop, and it is the one that changes anything.</w:t>
      </w:r>
    </w:p>
    <w:p>
      <w:r>
        <w:t>Then get outside your own account, because you cannot challenge your assumptions using only the lens that produced them, which is exactly what a solo reflective log asks you to do. Brookfield (1995) sets out four lenses: your own experience, the eyes of the people you work with, your colleagues' perceptions, and the literature. Three of those require you to go and ask somebody.</w:t>
      </w:r>
    </w:p>
    <w:p>
      <w:r>
        <w:t>Then commit in advance. Before the next visit, write down what you think is happening and what you would have to see to abandon that view. A hypothesis is a belief you have agreed in advance to give up, and Mason (1993) described the working position as safe uncertainty, holding a view firmly enough to act on while staying genuinely open to being wrong. Recording the falsifying condition before the evidence arrives is the only reliable protection against deciding afterwards that you knew all along.</w:t>
      </w:r>
    </w:p>
    <w:p>
      <w:r>
        <w:t>None of this is comfortable, and the discomfort is the mechanism rather than a side effect.</w:t>
      </w:r>
    </w:p>
    <w:p>
      <w:pPr>
        <w:pStyle w:val="Heading2"/>
        <w:spacing w:before="320"/>
      </w:pPr>
      <w:r>
        <w:rPr>
          <w:rFonts w:ascii="Calibri" w:hAnsi="Calibri"/>
          <w:sz w:val="26"/>
        </w:rPr>
        <w:t>The load, and who is carrying it</w:t>
      </w:r>
    </w:p>
    <w:p>
      <w:r>
        <w:t>Edinburgh are explicit that a single reflection is worth little, and that the value comes from repeating the process across a series of experiences until it becomes a habit (University of Edinburgh, no date c). That also means the capability decays. Someone who reflected well as a student and has since written nothing but assessments is not still carrying it.</w:t>
      </w:r>
    </w:p>
    <w:p>
      <w:r>
        <w:t>Two cautions come from my own research with practice educators. Reflection grows under discomfort and stops under anxiety: participants located learning in being uncomfortable, and also described students who became anxious enough to prefer silence to being wrong. And one participant observed that power decreases feelings of uncomfortableness. The person setting the load feels less of it than the person carrying it.</w:t>
      </w:r>
    </w:p>
    <w:p>
      <w:r>
        <w:t>Edinburgh reach the same problem from the other side. Asking someone to produce a reflection creates an audience for it, which has consequences for how authentic assessed reflection can be, and they are direct that we cannot know whether a reflector is being honest (University of Edinburgh, no date d). Asking a worker to reflect out loud is asking them to receive help from somebody who may be writing their assessment. That is the argument for self-assessment tools rather than more of them: a rubric you run on yourself has no audience.</w:t>
      </w:r>
    </w:p>
    <w:p>
      <w:pPr>
        <w:pStyle w:val="Heading2"/>
        <w:spacing w:before="320"/>
      </w:pPr>
      <w:r>
        <w:rPr>
          <w:rFonts w:ascii="Calibri" w:hAnsi="Calibri"/>
          <w:sz w:val="26"/>
        </w:rPr>
        <w:t>What to do on Monday</w:t>
      </w:r>
    </w:p>
    <w:p>
      <w:pPr>
        <w:pStyle w:val="ListBullet"/>
      </w:pPr>
      <w:r>
        <w:t>Grade your own reflection before anyone else does. Locate your last written reflection on the 5R stages and on Edinburgh's rubric, and write down the single next move.</w:t>
      </w:r>
    </w:p>
    <w:p>
      <w:pPr>
        <w:pStyle w:val="ListBullet"/>
      </w:pPr>
      <w:r>
        <w:t>Read your own recording for what it shows you believed, not for what you said you believed.</w:t>
      </w:r>
    </w:p>
    <w:p>
      <w:pPr>
        <w:pStyle w:val="ListBullet"/>
      </w:pPr>
      <w:r>
        <w:t>Take one current case and write the falsifying condition down now, before the next visit.</w:t>
      </w:r>
    </w:p>
    <w:p>
      <w:pPr>
        <w:pStyle w:val="ListBullet"/>
      </w:pPr>
      <w:r>
        <w:t>Borrow a lens. Ask a colleague what they think you are missing on the case you are most confident about.</w:t>
      </w:r>
    </w:p>
    <w:p>
      <w:pPr>
        <w:pStyle w:val="ListBullet"/>
      </w:pPr>
      <w:r>
        <w:t>Reflect on a series, not an incident. Ask what your last four visits have in common, which no single-event cycle can reach.</w:t>
      </w:r>
    </w:p>
    <w:p>
      <w:r>
        <w:t>If social work is applied practical philosophy, the practical application is not the canon but the moves: hold a belief as a belief, know what it rests on, put it where it can be tested, and do it often enough that it becomes what you are like rather than what you submitted.</w:t>
      </w:r>
    </w:p>
    <w:p>
      <w:pPr>
        <w:pStyle w:val="Heading2"/>
        <w:spacing w:before="320"/>
      </w:pPr>
      <w:r>
        <w:rPr>
          <w:rFonts w:ascii="Calibri" w:hAnsi="Calibri"/>
          <w:sz w:val="26"/>
        </w:rPr>
        <w:t>References</w:t>
      </w:r>
    </w:p>
    <w:p>
      <w:r>
        <w:t xml:space="preserve">Argyris, C. and Schön, D.A. (1974) </w:t>
      </w:r>
      <w:r>
        <w:rPr>
          <w:i/>
        </w:rPr>
        <w:t>Theory in Practice: Increasing Professional Effectiveness</w:t>
      </w:r>
      <w:r>
        <w:t>. San Francisco: Jossey-Bass.</w:t>
      </w:r>
    </w:p>
    <w:p>
      <w:r>
        <w:t xml:space="preserve">Argyris, C. and Schön, D.A. (1978) </w:t>
      </w:r>
      <w:r>
        <w:rPr>
          <w:i/>
        </w:rPr>
        <w:t>Organizational Learning: A Theory of Action Perspective</w:t>
      </w:r>
      <w:r>
        <w:t>. Reading, MA: Addison-Wesley.</w:t>
      </w:r>
    </w:p>
    <w:p>
      <w:r>
        <w:t xml:space="preserve">Bain, J.D., Ballantyne, R., Mills, C. and Packer, J. (2002) </w:t>
      </w:r>
      <w:r>
        <w:rPr>
          <w:i/>
        </w:rPr>
        <w:t>Reflecting on Practice: Student Teachers' Perspectives</w:t>
      </w:r>
      <w:r>
        <w:t>. Flaxton, Qld: Post Pressed.</w:t>
      </w:r>
    </w:p>
    <w:p>
      <w:r>
        <w:t xml:space="preserve">Bassot, B. (2013) </w:t>
      </w:r>
      <w:r>
        <w:rPr>
          <w:i/>
        </w:rPr>
        <w:t>The Reflective Journal</w:t>
      </w:r>
      <w:r>
        <w:t>. Basingstoke: Palgrave Macmillan.</w:t>
      </w:r>
    </w:p>
    <w:p>
      <w:r>
        <w:t xml:space="preserve">BASW (2018) </w:t>
      </w:r>
      <w:r>
        <w:rPr>
          <w:i/>
        </w:rPr>
        <w:t>Professional Capabilities Framework</w:t>
      </w:r>
      <w:r>
        <w:t>. Birmingham: British Association of Social Workers.</w:t>
      </w:r>
    </w:p>
    <w:p>
      <w:r>
        <w:t xml:space="preserve">Brookfield, S.D. (1995) </w:t>
      </w:r>
      <w:r>
        <w:rPr>
          <w:i/>
        </w:rPr>
        <w:t>Becoming a Critically Reflective Teacher</w:t>
      </w:r>
      <w:r>
        <w:t>. San Francisco: Jossey-Bass.</w:t>
      </w:r>
    </w:p>
    <w:p>
      <w:r>
        <w:t xml:space="preserve">Mason, B. (1993) 'Towards positions of safe uncertainty', </w:t>
      </w:r>
      <w:r>
        <w:rPr>
          <w:i/>
        </w:rPr>
        <w:t>Human Systems</w:t>
      </w:r>
      <w:r>
        <w:t>, 4, pp. 189-200.</w:t>
      </w:r>
    </w:p>
    <w:p>
      <w:r>
        <w:t xml:space="preserve">Moon, J.A. (2004) </w:t>
      </w:r>
      <w:r>
        <w:rPr>
          <w:i/>
        </w:rPr>
        <w:t>A Handbook of Reflective and Experiential Learning: Theory and Practice</w:t>
      </w:r>
      <w:r>
        <w:t>. London: RoutledgeFalmer.</w:t>
      </w:r>
    </w:p>
    <w:p>
      <w:r>
        <w:t xml:space="preserve">Moon, J.A. (2006) </w:t>
      </w:r>
      <w:r>
        <w:rPr>
          <w:i/>
        </w:rPr>
        <w:t>Learning Journals: A Handbook for Reflective Practice and Professional Development</w:t>
      </w:r>
      <w:r>
        <w:t>. 2nd edn. London: Routledge.</w:t>
      </w:r>
    </w:p>
    <w:p>
      <w:r>
        <w:t xml:space="preserve">University of Edinburgh (no date a) </w:t>
      </w:r>
      <w:r>
        <w:rPr>
          <w:i/>
        </w:rPr>
        <w:t>Reflection Toolkit</w:t>
      </w:r>
      <w:r>
        <w:t>. Available at: https://reflection.ed.ac.uk/ (Accessed: [DATE]).</w:t>
      </w:r>
    </w:p>
    <w:p>
      <w:r>
        <w:t xml:space="preserve">University of Edinburgh (no date b) </w:t>
      </w:r>
      <w:r>
        <w:rPr>
          <w:i/>
        </w:rPr>
        <w:t>Assessment rubrics</w:t>
      </w:r>
      <w:r>
        <w:t>. Available at: https://reflection.ed.ac.uk/facilitators-toolkit/assessment/rubrics (Accessed: [DATE]).</w:t>
      </w:r>
    </w:p>
    <w:p>
      <w:r>
        <w:t xml:space="preserve">University of Edinburgh (no date c) </w:t>
      </w:r>
      <w:r>
        <w:rPr>
          <w:i/>
        </w:rPr>
        <w:t>Goals, objectives and reflective habits</w:t>
      </w:r>
      <w:r>
        <w:t>. Available at: https://reflection.ed.ac.uk/reflectors-toolkit/goals-objectives-habits (Accessed: [DATE]).</w:t>
      </w:r>
    </w:p>
    <w:p>
      <w:r>
        <w:t xml:space="preserve">University of Edinburgh (no date d) </w:t>
      </w:r>
      <w:r>
        <w:rPr>
          <w:i/>
        </w:rPr>
        <w:t>Authenticity and reflection as performance: reflection with an audience</w:t>
      </w:r>
      <w:r>
        <w:t>. Available at: https://reflection.ed.ac.uk/facilitators-toolkit/where-to-start/authenticity-audience (Accessed: [DATE]).</w:t>
      </w:r>
    </w:p>
    <w:p>
      <w:r>
        <w:t xml:space="preserve">University of Edinburgh (no date e) </w:t>
      </w:r>
      <w:r>
        <w:rPr>
          <w:i/>
        </w:rPr>
        <w:t>The 5R framework for reflection</w:t>
      </w:r>
      <w:r>
        <w:t>. Available at: https://reflection.ed.ac.uk/reflectors-toolkit/reflecting-on-experience/5r-framework (Accessed: [DATE]).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