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sz w:val="34"/>
        </w:rPr>
        <w:t>If social work is applied practical philosophy, how do we apply philosophy practically?</w:t>
      </w:r>
    </w:p>
    <w:p>
      <w:r>
        <w:t>Benjamin Feasmen</w:t>
      </w:r>
    </w:p>
    <w:p>
      <w:r>
        <w:t>A student submits a reflective log at four o'clock on a Friday. It has six headings and all six are filled in: description, feelings, evaluation, analysis, conclusion, action plan. Nothing in it is untrue, and nothing in it has been thought. The form is complete. The reflection has not happened.</w:t>
      </w:r>
    </w:p>
    <w:p>
      <w:r>
        <w:t>Most of us have written one of those. Some of us have read a hundred. We teach reflection as an activity with a deadline attached, then ask people to be reflective practitioners, which is a capability, and we are surprised when the two do not meet.</w:t>
      </w:r>
    </w:p>
    <w:p>
      <w:r>
        <w:t>The distinction matters more than it sounds. A competence question asks whether a worker can perform the task. A capability question asks whether they will keep learning once nobody is checking. Domain 6 of the Professional Capabilities Framework says that reflection 'enables us to challenge ourselves and others, and maintain our professional curiosity, creativity and self-awareness' (British Association of Social Workers (BASW), 2018, p. 8). It does not say how a person gets better at it, or how anyone would know they had.</w:t>
      </w:r>
    </w:p>
    <w:p>
      <w:pPr>
        <w:pStyle w:val="Heading2"/>
        <w:spacing w:before="320"/>
      </w:pPr>
      <w:r>
        <w:rPr>
          <w:rFonts w:ascii="Calibri" w:hAnsi="Calibri"/>
          <w:sz w:val="26"/>
        </w:rPr>
        <w:t>What Socrates was actually doing</w:t>
      </w:r>
    </w:p>
    <w:p>
      <w:r>
        <w:t xml:space="preserve">Socrates, on trial in Athens and arguing for his life, said that the unexamined life is not worth living (Plato, </w:t>
      </w:r>
      <w:r>
        <w:rPr>
          <w:i/>
        </w:rPr>
        <w:t>Apology</w:t>
      </w:r>
      <w:r>
        <w:t>, 38a). The line now appears on training slides, usually to introduce a session about journalling.</w:t>
      </w:r>
    </w:p>
    <w:p>
      <w:r>
        <w:t>What he was defending was how he had spent his days: stopping people in the street, asking them what they meant by courage or justice, and following the answer until it broke. The method that got him executed was a conversational technique. He asked for a definition, tested it against a case the definition could not hold, and waited while the other person worked out that they had been carrying a belief without knowing what it rested on.</w:t>
      </w:r>
    </w:p>
    <w:p>
      <w:r>
        <w:t>I am not arguing that social workers should read more philosophy. Reading Plato will not improve a chronology or make a section 47 enquiry more proportionate. What is worth taking from the tradition is its technical apparatus: what counts as a ground for a belief, how a belief is held, and what has to happen for it to change.</w:t>
      </w:r>
    </w:p>
    <w:p>
      <w:r>
        <w:t xml:space="preserve">That apparatus has a long inheritance in our profession, mostly unacknowledged. Aristotle described </w:t>
      </w:r>
      <w:r>
        <w:rPr>
          <w:i/>
        </w:rPr>
        <w:t>phronesis</w:t>
      </w:r>
      <w:r>
        <w:t>, practical wisdom, as deliberating well about what to do in circumstances no rule covers in advance, and argued that it is acquired the way any disposition is acquired, by doing it repeatedly until it becomes settled (</w:t>
      </w:r>
      <w:r>
        <w:rPr>
          <w:i/>
        </w:rPr>
        <w:t>Nicomachean Ethics</w:t>
      </w:r>
      <w:r>
        <w:t>, Books II and VI). Dewey (1933) defined reflective thought as active, persistent and careful consideration of a belief in the light of the grounds that support it. Schön (1983) put professional knowledge in the swampy lowland where the problems are messy and the technically rigorous answers are not available. Mezirow (1991), drawing on Habermas (1972), asked practitioners to reflect on the premises of a problem rather than on their handling of it.</w:t>
      </w:r>
    </w:p>
    <w:p>
      <w:r>
        <w:t>Four traditions, one shape. Each treats reflection as a disposition built by repetition, working on beliefs and the grounds they rest on, rather than as an activity you complete.</w:t>
      </w:r>
    </w:p>
    <w:p>
      <w:pPr>
        <w:pStyle w:val="Heading2"/>
        <w:spacing w:before="320"/>
      </w:pPr>
      <w:r>
        <w:rPr>
          <w:rFonts w:ascii="Calibri" w:hAnsi="Calibri"/>
          <w:sz w:val="26"/>
        </w:rPr>
        <w:t>The technicality that decides everything</w:t>
      </w:r>
    </w:p>
    <w:p>
      <w:r>
        <w:t>How deeply a practitioner can reflect is limited by what they take knowledge to be. This is the piece we leave out, and it is the piece that does the work.</w:t>
      </w:r>
    </w:p>
    <w:p>
      <w:r>
        <w:t>King and Kitchener (1994) mapped this as reflective judgement, moving through three broad levels. Their participants were North American students and adults, so the stages travel to English social work as a developmental pattern rather than as a measure. The pattern is recognisable in supervision.</w:t>
      </w:r>
    </w:p>
    <w:p>
      <w:r>
        <w:t>A practitioner holding knowledge as certain and possessed by authority looks for the right answer. Reflection becomes checking their practice against procedure, and their honest question is what they should have done. A practitioner holding all evidence as uncertain treats every account as equally weighted. That reads as open-mindedness and works as an inability to decide. In a strategy discussion it produces a worker who can list every family member's perspective and cannot say what they think is happening. A practitioner who can make a judgement, state what it rests on, and give it up when the evidence moves is doing something the first two cannot.</w:t>
      </w:r>
    </w:p>
    <w:p>
      <w:r>
        <w:t>Systemic practice has a name for the third position. A hypothesis is a belief you have agreed in advance to give up, and Mason (1993) described the working stance as safe uncertainty, holding a position firmly enough to act on while remaining genuinely open to being wrong. That is an epistemological competence rather than a personality trait, and it can be taught directly.</w:t>
      </w:r>
    </w:p>
    <w:p>
      <w:r>
        <w:t>Moon (2004) makes the same connection: the depth of a person's reflection is limited by their epistemological development, so telling someone to reflect more deeply is useless unless something changes in how they hold what they know.</w:t>
      </w:r>
    </w:p>
    <w:p>
      <w:pPr>
        <w:pStyle w:val="Heading2"/>
        <w:spacing w:before="320"/>
      </w:pPr>
      <w:r>
        <w:rPr>
          <w:rFonts w:ascii="Calibri" w:hAnsi="Calibri"/>
          <w:sz w:val="26"/>
        </w:rPr>
        <w:t>Moon as a diagnostic and a training plan</w:t>
      </w:r>
    </w:p>
    <w:p>
      <w:r>
        <w:t>Moon's map of learning gives five positions: noticing, making sense, making meaning, working with meaning, and transformative learning (Moon, 2004). Her exercise is to take a single event and write it several times, each account going further than the last, so the writer sees the difference between depths in their own words rather than in a definition. Used this way it tells a practitioner where they currently are and what the next repetition is.</w:t>
      </w:r>
    </w:p>
    <w:p>
      <w:r>
        <w:rPr>
          <w:b/>
        </w:rPr>
        <w:t>Noticing.</w:t>
      </w:r>
      <w:r>
        <w:t xml:space="preserve"> The account records what happened. It is accurate, sequenced and flat. The next repetition is to add the writer to it, including what they felt at the time and what they did with that.</w:t>
      </w:r>
    </w:p>
    <w:p>
      <w:r>
        <w:rPr>
          <w:b/>
        </w:rPr>
        <w:t>Making sense.</w:t>
      </w:r>
      <w:r>
        <w:t xml:space="preserve"> The account explains events and gives reasons, all of them consistent with each other and none of them questioned. The next repetition is to write the paragraph the account is avoiding, and to say what else the same facts could mean.</w:t>
      </w:r>
    </w:p>
    <w:p>
      <w:r>
        <w:rPr>
          <w:b/>
        </w:rPr>
        <w:t>Making meaning.</w:t>
      </w:r>
      <w:r>
        <w:t xml:space="preserve"> The account asks what the event meant to the people in it, including the writer, and starts to notice its own standpoint. The next repetition is to set that account beside somebody else's and let it be changed: the family's account, a colleague's, the account of the person who disagreed with you.</w:t>
      </w:r>
    </w:p>
    <w:p>
      <w:r>
        <w:rPr>
          <w:b/>
        </w:rPr>
        <w:t>Working with meaning.</w:t>
      </w:r>
      <w:r>
        <w:t xml:space="preserve"> The account moves between frames, treats its own interpretation as one reading among several, and can say what would have to be true for it to be wrong. The next repetition is to work backwards from a decision to the assumptions underneath it and test those.</w:t>
      </w:r>
    </w:p>
    <w:p>
      <w:r>
        <w:rPr>
          <w:b/>
        </w:rPr>
        <w:t>Transformative learning.</w:t>
      </w:r>
      <w:r>
        <w:t xml:space="preserve"> The frame itself has moved. The practitioner now sees the case, and often a set of previous cases, differently.</w:t>
      </w:r>
    </w:p>
    <w:p>
      <w:r>
        <w:t>The value for a supervisor is that this is diagnosable from a piece of writing or ten minutes of conversation. You are not asking whether someone is reflective. You are asking which of these five their account is doing, and setting the next repetition accordingly. That is a teaching plan, not a judgement.</w:t>
      </w:r>
    </w:p>
    <w:p>
      <w:pPr>
        <w:pStyle w:val="Heading2"/>
        <w:spacing w:before="320"/>
      </w:pPr>
      <w:r>
        <w:rPr>
          <w:rFonts w:ascii="Calibri" w:hAnsi="Calibri"/>
          <w:sz w:val="26"/>
        </w:rPr>
        <w:t>Training the capability</w:t>
      </w:r>
    </w:p>
    <w:p>
      <w:r>
        <w:t>Ericsson et al. (1993) found that expert performance is built by deliberate practice: a task pitched at the edge of current ability, immediate feedback, and repetition with the difficulty increased. Their participants were musicians and athletes, so the transfer to professional judgement is an argument rather than a finding. It still sets a useful test. If a practitioner's reflective work sits inside what they can already do, and nobody responds to it, it is developing nothing.</w:t>
      </w:r>
    </w:p>
    <w:p>
      <w:r>
        <w:t>Two cautions come from my own research with practice educators. The first is that reflection grows under discomfort and stops under anxiety. Participants located learning in being uncomfortable, and also described students who became anxious enough that they preferred silence to being wrong. Load builds the capability; too much load stops it.</w:t>
      </w:r>
    </w:p>
    <w:p>
      <w:r>
        <w:t>The second caution is about power, and it is the harder one. One participant observed that power decreases feelings of uncomfortableness. The person setting the load feels less of it than the person carrying it. A supervisor can leave a session judging it productively challenging while the supervisee leaves it frightened, and the supervisor is the one who decides which of those it was.</w:t>
      </w:r>
    </w:p>
    <w:p>
      <w:r>
        <w:t>This is where reflective practice meets a person's relationship to help (Reder and Fredman, 1996). Asking a worker to reflect out loud is asking them to receive help, in front of somebody who may be writing their assessment. Practice educators in my study said, repeatedly, that they recognised self-awareness most reliably by its absence, because absence is easier to evidence than presence. A profession that mainly detects the failure to reflect teaches its members that reflecting out loud is dangerous, and then wonders why the logs read like forms.</w:t>
      </w:r>
    </w:p>
    <w:p>
      <w:pPr>
        <w:pStyle w:val="Heading2"/>
        <w:spacing w:before="320"/>
      </w:pPr>
      <w:r>
        <w:rPr>
          <w:rFonts w:ascii="Calibri" w:hAnsi="Calibri"/>
          <w:sz w:val="26"/>
        </w:rPr>
        <w:t>What to do on Monday</w:t>
      </w:r>
    </w:p>
    <w:p>
      <w:pPr>
        <w:pStyle w:val="ListBullet"/>
      </w:pPr>
      <w:r>
        <w:t>Diagnose before you prescribe. Read the next reflective account you are given and locate it on Moon's five, then name the single next repetition rather than asking for more depth in general.</w:t>
      </w:r>
    </w:p>
    <w:p>
      <w:pPr>
        <w:pStyle w:val="ListBullet"/>
      </w:pPr>
      <w:r>
        <w:t>Teach the epistemological move explicitly. Ask what this rests on, what would change your mind, and what else these facts could mean. Ask it about your own judgements first.</w:t>
      </w:r>
    </w:p>
    <w:p>
      <w:pPr>
        <w:pStyle w:val="ListBullet"/>
      </w:pPr>
      <w:r>
        <w:t>Separate the training session from the assessment. Name out loud which one the conversation is, because the person opposite you cannot always tell.</w:t>
      </w:r>
    </w:p>
    <w:p>
      <w:pPr>
        <w:pStyle w:val="ListBullet"/>
      </w:pPr>
      <w:r>
        <w:t>Model being stuck. Say what you do not know while the other person is watching. Reflection is not performed alone in front of a template; it was always a conversation between people who disagreed.</w:t>
      </w:r>
    </w:p>
    <w:p>
      <w:r>
        <w:t>If social work is applied practical philosophy, the practical application is not the canon but the moves: hold a belief as a belief, know what it rests on, put it where it can be tested, and do it often enough that it becomes what you are like rather than what you submitted.</w:t>
      </w:r>
    </w:p>
    <w:p>
      <w:pPr>
        <w:pStyle w:val="Heading2"/>
        <w:spacing w:before="320"/>
      </w:pPr>
      <w:r>
        <w:rPr>
          <w:rFonts w:ascii="Calibri" w:hAnsi="Calibri"/>
          <w:sz w:val="26"/>
        </w:rPr>
        <w:t>References</w:t>
      </w:r>
    </w:p>
    <w:p>
      <w:r>
        <w:t xml:space="preserve">BASW (2018) </w:t>
      </w:r>
      <w:r>
        <w:rPr>
          <w:i/>
        </w:rPr>
        <w:t>Professional Capabilities Framework</w:t>
      </w:r>
      <w:r>
        <w:t>. Birmingham: British Association of Social Workers.</w:t>
      </w:r>
    </w:p>
    <w:p>
      <w:r>
        <w:t xml:space="preserve">Dewey, J. (1933) </w:t>
      </w:r>
      <w:r>
        <w:rPr>
          <w:i/>
        </w:rPr>
        <w:t>How We Think: A Restatement of the Relation of Reflective Thinking to the Educative Process</w:t>
      </w:r>
      <w:r>
        <w:t>. Boston: D.C. Heath.</w:t>
      </w:r>
    </w:p>
    <w:p>
      <w:r>
        <w:t xml:space="preserve">Ericsson, K.A., Krampe, R.T. and Tesch-Römer, C. (1993) 'The role of deliberate practice in the acquisition of expert performance', </w:t>
      </w:r>
      <w:r>
        <w:rPr>
          <w:i/>
        </w:rPr>
        <w:t>Psychological Review</w:t>
      </w:r>
      <w:r>
        <w:t>, 100, 3, pp. 363-406.</w:t>
      </w:r>
    </w:p>
    <w:p>
      <w:r>
        <w:t xml:space="preserve">Habermas, J. (1972) </w:t>
      </w:r>
      <w:r>
        <w:rPr>
          <w:i/>
        </w:rPr>
        <w:t>Knowledge and Human Interests</w:t>
      </w:r>
      <w:r>
        <w:t>. London: Heinemann.</w:t>
      </w:r>
    </w:p>
    <w:p>
      <w:r>
        <w:t xml:space="preserve">King, P.M. and Kitchener, K.S. (1994) </w:t>
      </w:r>
      <w:r>
        <w:rPr>
          <w:i/>
        </w:rPr>
        <w:t>Developing Reflective Judgment</w:t>
      </w:r>
      <w:r>
        <w:t>. San Francisco: Jossey-Bass.</w:t>
      </w:r>
    </w:p>
    <w:p>
      <w:r>
        <w:t xml:space="preserve">Mason, B. (1993) 'Towards positions of safe uncertainty', </w:t>
      </w:r>
      <w:r>
        <w:rPr>
          <w:i/>
        </w:rPr>
        <w:t>Human Systems</w:t>
      </w:r>
      <w:r>
        <w:t>, 4, pp. 189-200.</w:t>
      </w:r>
    </w:p>
    <w:p>
      <w:r>
        <w:t xml:space="preserve">Mezirow, J. (1991) </w:t>
      </w:r>
      <w:r>
        <w:rPr>
          <w:i/>
        </w:rPr>
        <w:t>Transformative Dimensions of Adult Learning</w:t>
      </w:r>
      <w:r>
        <w:t>. San Francisco: Jossey-Bass.</w:t>
      </w:r>
    </w:p>
    <w:p>
      <w:r>
        <w:t xml:space="preserve">Moon, J. (2004) </w:t>
      </w:r>
      <w:r>
        <w:rPr>
          <w:i/>
        </w:rPr>
        <w:t>A Handbook of Reflective and Experiential Learning: Theory and Practice</w:t>
      </w:r>
      <w:r>
        <w:t>. London: RoutledgeFalmer.</w:t>
      </w:r>
    </w:p>
    <w:p>
      <w:r>
        <w:t xml:space="preserve">Reder, P. and Fredman, G. (1996) 'The relationship to help: interacting beliefs about the treatment process', </w:t>
      </w:r>
      <w:r>
        <w:rPr>
          <w:i/>
        </w:rPr>
        <w:t>Clinical Child Psychology and Psychiatry</w:t>
      </w:r>
      <w:r>
        <w:t>, 1, 3, pp. 457-467.</w:t>
      </w:r>
    </w:p>
    <w:p>
      <w:r>
        <w:t xml:space="preserve">Schön, D.A. (1983) </w:t>
      </w:r>
      <w:r>
        <w:rPr>
          <w:i/>
        </w:rPr>
        <w:t>The Reflective Practitioner: How Professionals Think in Action</w:t>
      </w:r>
      <w:r>
        <w:t>. New York: Basic Books.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