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sz w:val="34"/>
        </w:rPr>
        <w:t>If social work is applied practical philosophy, how do we apply philosophy practically?</w:t>
      </w:r>
    </w:p>
    <w:p>
      <w:r>
        <w:t>Benjamin Feasmen</w:t>
      </w:r>
    </w:p>
    <w:p>
      <w:r>
        <w:t>A student submits a reflective log at four o'clock on a Friday. It has six headings and all six are filled in: description, feelings, evaluation, analysis, conclusion, action plan. Nothing in it is untrue, and nothing in it has been thought. The form is complete. The reflection has not happened.</w:t>
      </w:r>
    </w:p>
    <w:p>
      <w:r>
        <w:t>Most of us have written one of those. Some of us have read a hundred. We teach reflection as an activity with a deadline attached, then ask people to be reflective practitioners, which is a capability, and we are surprised when the two do not meet.</w:t>
      </w:r>
    </w:p>
    <w:p>
      <w:r>
        <w:t>The distinction matters more than it sounds. A competence question asks whether a worker can perform the task. A capability question asks whether they will keep learning once nobody is checking. Domain 6 of the Professional Capabilities Framework says that reflection 'enables us to challenge ourselves and others, and maintain our professional curiosity, creativity and self-awareness' (British Association of Social Workers (BASW), 2018, p. 8). It does not say how a person gets better at it, or how anyone would know they had.</w:t>
      </w:r>
    </w:p>
    <w:p>
      <w:pPr>
        <w:pStyle w:val="Heading2"/>
        <w:spacing w:before="320"/>
      </w:pPr>
      <w:r>
        <w:rPr>
          <w:rFonts w:ascii="Calibri" w:hAnsi="Calibri"/>
          <w:sz w:val="26"/>
        </w:rPr>
        <w:t>Socrates left a technique, not a syllabus</w:t>
      </w:r>
    </w:p>
    <w:p>
      <w:r>
        <w:t xml:space="preserve">Socrates, on trial in Athens and arguing for his life, said that the unexamined life is not worth living (Plato, </w:t>
      </w:r>
      <w:r>
        <w:rPr>
          <w:i/>
        </w:rPr>
        <w:t>Apology</w:t>
      </w:r>
      <w:r>
        <w:t>, 38a). The line now appears on training slides, usually to introduce a session about journalling.</w:t>
      </w:r>
    </w:p>
    <w:p>
      <w:r>
        <w:t>What he was defending was how he had spent his days: stopping people in the street, asking them what they meant by courage or justice, and following the answer until it broke. He asked for a definition, tested it against a case the definition could not hold, and waited while the other person worked out they had been carrying a belief without knowing what it rested on.</w:t>
      </w:r>
    </w:p>
    <w:p>
      <w:r>
        <w:t>I am not arguing that social workers should read more philosophy. Reading Plato will not improve a chronology or make a section 47 enquiry more proportionate. The inheritance worth having is the technique, and the technical understanding of how a belief is held and what makes it change. That inheritance has been worked into teachable form by educationalists, and there is a substantial body of it we largely ignore.</w:t>
      </w:r>
    </w:p>
    <w:p>
      <w:pPr>
        <w:pStyle w:val="Heading2"/>
        <w:spacing w:before="320"/>
      </w:pPr>
      <w:r>
        <w:rPr>
          <w:rFonts w:ascii="Calibri" w:hAnsi="Calibri"/>
          <w:sz w:val="26"/>
        </w:rPr>
        <w:t>What the education literature already settled</w:t>
      </w:r>
    </w:p>
    <w:p>
      <w:r>
        <w:t>The University of Edinburgh's Reflection Toolkit is the most usable synthesis of that literature I have found, and it is free. It defines reflection as the conscious examination of past experiences, thoughts and ways of doing things, in order to surface learning and bring meaning to the present and the future, and it says that reflection challenges the status quo of practice, thoughts and assumptions (University of Edinburgh, no date a).</w:t>
      </w:r>
    </w:p>
    <w:p>
      <w:r>
        <w:t>That last clause is where the work is. Reflection that records what you did is administration. Reflection that tests what you assumed is the capability the PCF asks for, and the two produce documents that look similar.</w:t>
      </w:r>
    </w:p>
    <w:p>
      <w:r>
        <w:t>Systemic practice already has the working stance. A hypothesis is a belief you have agreed in advance to give up, and Mason (1993) described the position to practise from as safe uncertainty, holding a view firmly enough to act on while remaining genuinely open to being wrong. That is a competence rather than a personality trait, and it can be taught directly.</w:t>
      </w:r>
    </w:p>
    <w:p>
      <w:r>
        <w:t>The Edinburgh toolkit's own theoretical base is the same lineage social work cites and rarely uses: Dewey, Schön, Boud, Keogh and Walker, Moon and Mezirow (University of Edinburgh, no date b). Their assessment rubric is built on Moon, Schön, Boud and Mezirow, and they report that it has established high inter-rater reliability. Two practice educators in my own research asked the profession for a definition of what they were assessing and tools to develop it, and were told it was in the training. It was not. Something close to it has existed in higher education for years.</w:t>
      </w:r>
    </w:p>
    <w:p>
      <w:pPr>
        <w:pStyle w:val="Heading2"/>
        <w:spacing w:before="320"/>
      </w:pPr>
      <w:r>
        <w:rPr>
          <w:rFonts w:ascii="Calibri" w:hAnsi="Calibri"/>
          <w:sz w:val="26"/>
        </w:rPr>
        <w:t>The 5R framework: where you are, and what to do next</w:t>
      </w:r>
    </w:p>
    <w:p>
      <w:r>
        <w:t>The toolkit sets out several models, including Gibbs' cycle, Driscoll's What? So what? Now what?, the Integrated Reflective Cycle (Bassot, 2013), and the 5R framework (Bain et al., 2002). Most of them are cycles for working through one event. The 5R framework does something more useful for teaching, because its five stages are a scale of depth. It tells a person where their reflection currently stops.</w:t>
      </w:r>
    </w:p>
    <w:p>
      <w:r>
        <w:rPr>
          <w:b/>
        </w:rPr>
        <w:t>Reporting.</w:t>
      </w:r>
      <w:r>
        <w:t xml:space="preserve"> A factual account of what happened, who was there and what the circumstances were, with no interpretation. Accurate and flat.</w:t>
      </w:r>
    </w:p>
    <w:p>
      <w:r>
        <w:rPr>
          <w:b/>
        </w:rPr>
        <w:t>Responding.</w:t>
      </w:r>
      <w:r>
        <w:t xml:space="preserve"> What the writer felt and how they reacted. Still descriptive.</w:t>
      </w:r>
    </w:p>
    <w:p>
      <w:r>
        <w:rPr>
          <w:b/>
        </w:rPr>
        <w:t>Relating.</w:t>
      </w:r>
      <w:r>
        <w:t xml:space="preserve"> The writer connects the event to something else: previous experience, their own skills, a pattern they have seen before. This is where depth starts.</w:t>
      </w:r>
    </w:p>
    <w:p>
      <w:r>
        <w:rPr>
          <w:b/>
        </w:rPr>
        <w:t>Reasoning.</w:t>
      </w:r>
      <w:r>
        <w:t xml:space="preserve"> The writer explains why it happened as it did, brings in theory or another perspective, and treats their own reading as one account among others.</w:t>
      </w:r>
    </w:p>
    <w:p>
      <w:r>
        <w:rPr>
          <w:b/>
        </w:rPr>
        <w:t>Reconstructing.</w:t>
      </w:r>
      <w:r>
        <w:t xml:space="preserve"> The writer draws a conclusion they can act on and changes how they will practise next time, with reasons.</w:t>
      </w:r>
    </w:p>
    <w:p>
      <w:r>
        <w:t>Almost every weak reflective log I have read stops at Responding. The student describes the visit and says they found it difficult, and that is offered as reflection because feelings are present.</w:t>
      </w:r>
    </w:p>
    <w:p>
      <w:r>
        <w:t>The value of naming the stage is that it converts an instruction nobody can act on into one they can. 'Reflect more deeply' is useless. 'Your account stops at Responding, so the next move is Relating: what else does this remind you of, and what pattern is it part of?' is a task with an answer. A supervisor can diagnose this from ten minutes of conversation, and the diagnosis names the next repetition rather than delivering a verdict.</w:t>
      </w:r>
    </w:p>
    <w:p>
      <w:pPr>
        <w:pStyle w:val="Heading2"/>
        <w:spacing w:before="320"/>
      </w:pPr>
      <w:r>
        <w:rPr>
          <w:rFonts w:ascii="Calibri" w:hAnsi="Calibri"/>
          <w:sz w:val="26"/>
        </w:rPr>
        <w:t>Treating it as a muscle</w:t>
      </w:r>
    </w:p>
    <w:p>
      <w:r>
        <w:t>Edinburgh are explicit that a single reflection is worth little. The value comes from repeating the process across a series of experiences until it becomes a habit and a mindset (University of Edinburgh, no date c). The models are circular by design: what you learn from one experience feeds into the next.</w:t>
      </w:r>
    </w:p>
    <w:p>
      <w:r>
        <w:t>That is a training principle, and it means reflective capability is built the way any capability is built, by repetition at a level slightly beyond what the person can already do, with feedback. It also means it decays. A practitioner who reflected well as a student and has since written nothing but assessments is not still carrying the capability because they once demonstrated it.</w:t>
      </w:r>
    </w:p>
    <w:p>
      <w:r>
        <w:t>Two cautions come from my own research with practice educators. Reflection grows under discomfort and stops under anxiety. Participants located learning in being uncomfortable, and also described students who became anxious enough that they preferred silence to being wrong. Load builds the capability, and too much load stops it.</w:t>
      </w:r>
    </w:p>
    <w:p>
      <w:r>
        <w:t>The second caution is about power. One participant observed that power decreases feelings of uncomfortableness. The person setting the load feels less of it than the person carrying it, and the supervisor who decides whether a session was productively challenging is the one who felt least of it.</w:t>
      </w:r>
    </w:p>
    <w:p>
      <w:r>
        <w:t>Edinburgh reach the same problem from the other direction. When we ask someone to produce a reflection, we create an audience for it, and that has consequences for how authentic mandatory and assessed reflection can be. They are direct that we cannot know whether a reflector is being authentic, and that a person can still reflect honestly within a framework without disclosing more than they want to (University of Edinburgh, no date d).</w:t>
      </w:r>
    </w:p>
    <w:p>
      <w:r>
        <w:t>For social work this is the whole difficulty in one sentence. Asking a worker to reflect out loud is asking them to receive help from somebody who may be writing their assessment. Practice educators in my study said they recognised self-awareness most reliably by its absence, because absence is easier to evidence than presence. A profession that mainly detects the failure to reflect teaches its members that reflecting out loud is dangerous, and then wonders why the logs read like forms.</w:t>
      </w:r>
    </w:p>
    <w:p>
      <w:pPr>
        <w:pStyle w:val="Heading2"/>
        <w:spacing w:before="320"/>
      </w:pPr>
      <w:r>
        <w:rPr>
          <w:rFonts w:ascii="Calibri" w:hAnsi="Calibri"/>
          <w:sz w:val="26"/>
        </w:rPr>
        <w:t>What to do on Monday</w:t>
      </w:r>
    </w:p>
    <w:p>
      <w:pPr>
        <w:pStyle w:val="ListBullet"/>
      </w:pPr>
      <w:r>
        <w:t>Diagnose before you prescribe. Locate the next reflective account you read on the 5R stages, then name the single next move rather than asking for more depth in general.</w:t>
      </w:r>
    </w:p>
    <w:p>
      <w:pPr>
        <w:pStyle w:val="ListBullet"/>
      </w:pPr>
      <w:r>
        <w:t>Set the assumption-testing task explicitly. What does this rest on, what would change your mind, and what else could these facts mean. Ask it about your own judgements first.</w:t>
      </w:r>
    </w:p>
    <w:p>
      <w:pPr>
        <w:pStyle w:val="ListBullet"/>
      </w:pPr>
      <w:r>
        <w:t>Separate the training conversation from the assessment. Say out loud which one this is, because the person opposite you cannot always tell.</w:t>
      </w:r>
    </w:p>
    <w:p>
      <w:pPr>
        <w:pStyle w:val="ListBullet"/>
      </w:pPr>
      <w:r>
        <w:t>Use a published rubric rather than your own instinct, and give it to the person before they write, not after.</w:t>
      </w:r>
    </w:p>
    <w:p>
      <w:pPr>
        <w:pStyle w:val="ListBullet"/>
      </w:pPr>
      <w:r>
        <w:t>Reflect on a series, not an incident. Ask what the last four visits have in common, which is a question a single-event cycle cannot reach.</w:t>
      </w:r>
    </w:p>
    <w:p>
      <w:r>
        <w:t>If social work is applied practical philosophy, the practical application is not the canon but the moves: hold a belief as a belief, know what it rests on, put it where it can be tested, and do it often enough that it becomes what you are like rather than what you submitted.</w:t>
      </w:r>
    </w:p>
    <w:p>
      <w:pPr>
        <w:pStyle w:val="Heading2"/>
        <w:spacing w:before="320"/>
      </w:pPr>
      <w:r>
        <w:rPr>
          <w:rFonts w:ascii="Calibri" w:hAnsi="Calibri"/>
          <w:sz w:val="26"/>
        </w:rPr>
        <w:t>References</w:t>
      </w:r>
    </w:p>
    <w:p>
      <w:r>
        <w:t xml:space="preserve">Bain, J.D., Ballantyne, R., Mills, C. and Packer, J. (2002) </w:t>
      </w:r>
      <w:r>
        <w:rPr>
          <w:i/>
        </w:rPr>
        <w:t>Reflecting on Practice: Student Teachers' Perspectives</w:t>
      </w:r>
      <w:r>
        <w:t>. Flaxton, Qld: Post Pressed.</w:t>
      </w:r>
    </w:p>
    <w:p>
      <w:r>
        <w:t xml:space="preserve">Bassot, B. (2013) </w:t>
      </w:r>
      <w:r>
        <w:rPr>
          <w:i/>
        </w:rPr>
        <w:t>The Reflective Journal</w:t>
      </w:r>
      <w:r>
        <w:t>. Basingstoke: Palgrave Macmillan.</w:t>
      </w:r>
    </w:p>
    <w:p>
      <w:r>
        <w:t xml:space="preserve">BASW (2018) </w:t>
      </w:r>
      <w:r>
        <w:rPr>
          <w:i/>
        </w:rPr>
        <w:t>Professional Capabilities Framework</w:t>
      </w:r>
      <w:r>
        <w:t>. Birmingham: British Association of Social Workers.</w:t>
      </w:r>
    </w:p>
    <w:p>
      <w:r>
        <w:t xml:space="preserve">Mason, B. (1993) 'Towards positions of safe uncertainty', </w:t>
      </w:r>
      <w:r>
        <w:rPr>
          <w:i/>
        </w:rPr>
        <w:t>Human Systems</w:t>
      </w:r>
      <w:r>
        <w:t>, 4, pp. 189-200.</w:t>
      </w:r>
    </w:p>
    <w:p>
      <w:r>
        <w:t xml:space="preserve">Moon, J.A. (2004) </w:t>
      </w:r>
      <w:r>
        <w:rPr>
          <w:i/>
        </w:rPr>
        <w:t>A Handbook of Reflective and Experiential Learning: Theory and Practice</w:t>
      </w:r>
      <w:r>
        <w:t>. London: RoutledgeFalmer.</w:t>
      </w:r>
    </w:p>
    <w:p>
      <w:r>
        <w:t xml:space="preserve">University of Edinburgh (no date a) </w:t>
      </w:r>
      <w:r>
        <w:rPr>
          <w:i/>
        </w:rPr>
        <w:t>Reflection Toolkit</w:t>
      </w:r>
      <w:r>
        <w:t>. Available at: https://reflection.ed.ac.uk/ (Accessed: [DATE]).</w:t>
      </w:r>
    </w:p>
    <w:p>
      <w:r>
        <w:t xml:space="preserve">University of Edinburgh (no date b) </w:t>
      </w:r>
      <w:r>
        <w:rPr>
          <w:i/>
        </w:rPr>
        <w:t>Reflection literature</w:t>
      </w:r>
      <w:r>
        <w:t>. Available at: https://reflection.ed.ac.uk/literature (Accessed: [DATE]).</w:t>
      </w:r>
    </w:p>
    <w:p>
      <w:r>
        <w:t xml:space="preserve">University of Edinburgh (no date c) </w:t>
      </w:r>
      <w:r>
        <w:rPr>
          <w:i/>
        </w:rPr>
        <w:t>Goals, objectives and reflective habits</w:t>
      </w:r>
      <w:r>
        <w:t>. Available at: https://reflection.ed.ac.uk/reflectors-toolkit/goals-objectives-habits (Accessed: [DATE]).</w:t>
      </w:r>
    </w:p>
    <w:p>
      <w:r>
        <w:t xml:space="preserve">University of Edinburgh (no date d) </w:t>
      </w:r>
      <w:r>
        <w:rPr>
          <w:i/>
        </w:rPr>
        <w:t>Authenticity and reflection as performance: reflection with an audience</w:t>
      </w:r>
      <w:r>
        <w:t>. Available at: https://reflection.ed.ac.uk/facilitators-toolkit/where-to-start/authenticity-audience (Accessed: [DATE]).</w:t>
      </w:r>
    </w:p>
    <w:p>
      <w:r>
        <w:t xml:space="preserve">University of Edinburgh (no date e) </w:t>
      </w:r>
      <w:r>
        <w:rPr>
          <w:i/>
        </w:rPr>
        <w:t>The 5R framework for reflection</w:t>
      </w:r>
      <w:r>
        <w:t>. Available at: https://reflection.ed.ac.uk/reflectors-toolkit/reflecting-on-experience/5r-framework (Accessed: [DATE]).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