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reports an integrated reconstruction carrying one probability distribution from the last radar fix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on primary radar during a reversal back across the Malay peninsula until 18:22Z,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The geometry is worth stating in concrete terms, because it is what makes the problem hard and it is not conveyed by describing the data as sparse. Each handshake fixes the signal path length between the aircraft and the satellite, which places the aircraft on a locus on the ellipsoid of approximately constant elevation angle to a satellite nominally over the equator at 64.5°E. Over the southern Indian Ocean that locus runs approximately north-west to south-east, so a single measurement constrains position almost entirely in one direction and barely at all along the locus. Seven such measurements, taken roughly hourly, therefore constrain the radial geometry well and the along-arc position of the aircraft hardly at all, and it is the along-arc coordinate which determines where the aircraft ran out of fuel. The frequency offsets add a velocity constraint which breaks some of that degeneracy, but they do so through a term of a few hertz against an oscillator whose bias drifts by a comparable amount, so the information they carry is real but thin. The reconstruction problem is accordingly not one of fixing a position from redundant observations, which is the normal situation in navigation, but of propagating a dynamic model for six hours between observations that each constrain one direction.</w:t>
      </w:r>
    </w:p>
    <w:p>
      <w:r>
        <w:t>This study removes those three separations. One probability distribution is carried from the last radar fix at 18:01Z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last radar fix at t₀ = 18:01Z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positions, 17:21Z to 18:22Z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rPr>
          <w:b w:val="0"/>
          <w:i/>
          <w:sz w:val="24"/>
        </w:rPr>
        <w:t>2.3.  Why the system is under-determined</w:t>
      </w:r>
    </w:p>
    <w:p>
      <w:r>
        <w:t>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The count can be made explicit. After 18:22Z the observations comprise seven burst timing offsets, seven burst frequency offsets and the two bursts of 00:19Z, which is sixteen scalar quantities, to which the primary radar adds a well-determined position and track before 18:22Z but nothing afterwards. Against those sixteen, a trajectory specified at a one-minute step over the six hours from 18:22Z to 00:19Z requires of the order of 350 epochs, each carrying at least position, altitude, heading and speed, and the times at which heading or speed changed are themselves unknown. Even a parsimonious description in terms of a small number of straight legs and turns requires several tens of parameters, and the manoeuvre model admits far more. The ratio is therefore of the order of one observation per hundred unknowns at a coarse discretisation, and worse at any discretisation fine enough to represent a turn.</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correction of Holland (2018);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oscillator start-up correction applied. The treatments which use the second frequency offset produce the tightest distributions, with 90% regions of 90,000 to 100,000km² against 165,000km² for the first burst timing offset alone, but they do so at a severe cost in effective sample size.</w:t>
      </w:r>
    </w:p>
    <w:p>
      <w:pPr>
        <w:jc w:val="center"/>
      </w:pPr>
      <w:r>
        <w:drawing>
          <wp:inline xmlns:a="http://schemas.openxmlformats.org/drawingml/2006/main" xmlns:pic="http://schemas.openxmlformats.org/drawingml/2006/picture">
            <wp:extent cx="5760000" cy="5138436"/>
            <wp:docPr id="1" name="Picture 1"/>
            <wp:cNvGraphicFramePr>
              <a:graphicFrameLocks noChangeAspect="1"/>
            </wp:cNvGraphicFramePr>
            <a:graphic>
              <a:graphicData uri="http://schemas.openxmlformats.org/drawingml/2006/picture">
                <pic:pic>
                  <pic:nvPicPr>
                    <pic:cNvPr id="0" name="fig1-impact-latitude.png"/>
                    <pic:cNvPicPr/>
                  </pic:nvPicPr>
                  <pic:blipFill>
                    <a:blip r:embed="rId10"/>
                    <a:stretch>
                      <a:fillRect/>
                    </a:stretch>
                  </pic:blipFill>
                  <pic:spPr>
                    <a:xfrm>
                      <a:off x="0" y="0"/>
                      <a:ext cx="5760000" cy="5138436"/>
                    </a:xfrm>
                    <a:prstGeom prst="rect"/>
                  </pic:spPr>
                </pic:pic>
              </a:graphicData>
            </a:graphic>
          </wp:inline>
        </w:drawing>
      </w:r>
    </w:p>
    <w:p>
      <w:r>
        <w:rPr>
          <w:b w:val="0"/>
          <w:i/>
          <w:sz w:val="20"/>
        </w:rPr>
        <w:t>Figure 1.  Impact arc-latitude distribution. (a) With the drift term, for all six treatments of the 00:19Z observations. (b) After the search term. (c) Evidence added in turn under the first burst timing offset alone. (d) Per route stratum, with the equal-prior mixture. Dotted curves have too few effective candidates to be quotable. Core run I, composed pass 2; not converged; conditional on an equal family prior.</w:t>
      </w:r>
    </w:p>
    <w:p>
      <w:r>
        <w:rPr>
          <w:b w:val="0"/>
          <w:i/>
          <w:sz w:val="16"/>
        </w:rPr>
        <w:t>[Alt text for Figure 1, required at submission: Four line charts of probability density against impact latitude from 41 to 20 degrees south. All four peak between 38 and 36 degrees south. In panel b the peak moves north and flattens after the search term is applied. In panel d the free-flight curve lies about 0.3 degrees north of the mixture.]</w:t>
      </w:r>
    </w:p>
    <w:p>
      <w:r>
        <w:t>Figure 1(a) shows the six treatments with the drift term applied, and Figure 1(b) the same six after the search term; the shift of the mode northward and the flattening of the distribution are visible in the second panel and are quantified in Section 3.6.</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pPr>
        <w:jc w:val="center"/>
      </w:pPr>
      <w:r>
        <w:drawing>
          <wp:inline xmlns:a="http://schemas.openxmlformats.org/drawingml/2006/main" xmlns:pic="http://schemas.openxmlformats.org/drawingml/2006/picture">
            <wp:extent cx="5760000" cy="3756176"/>
            <wp:docPr id="2" name="Picture 2"/>
            <wp:cNvGraphicFramePr>
              <a:graphicFrameLocks noChangeAspect="1"/>
            </wp:cNvGraphicFramePr>
            <a:graphic>
              <a:graphicData uri="http://schemas.openxmlformats.org/drawingml/2006/picture">
                <pic:pic>
                  <pic:nvPicPr>
                    <pic:cNvPr id="0" name="fig3-ocean-models.png"/>
                    <pic:cNvPicPr/>
                  </pic:nvPicPr>
                  <pic:blipFill>
                    <a:blip r:embed="rId11"/>
                    <a:stretch>
                      <a:fillRect/>
                    </a:stretch>
                  </pic:blipFill>
                  <pic:spPr>
                    <a:xfrm>
                      <a:off x="0" y="0"/>
                      <a:ext cx="5760000" cy="3756176"/>
                    </a:xfrm>
                    <a:prstGeom prst="rect"/>
                  </pic:spPr>
                </pic:pic>
              </a:graphicData>
            </a:graphic>
          </wp:inline>
        </w:drawing>
      </w:r>
    </w:p>
    <w:p>
      <w:r>
        <w:rPr>
          <w:b w:val="0"/>
          <w:i/>
          <w:sz w:val="20"/>
        </w:rPr>
        <w:t>Figure 2.  Posterior probability of the first ocean product under each treatment of the 00:19Z observations and each composed product (a), and the impact arc-latitude distribution under each product separately with their equal-prior mixture (b). The dashed line in (a) marks the equal prior of one half. Not converged.</w:t>
      </w:r>
    </w:p>
    <w:p>
      <w:r>
        <w:rPr>
          <w:b w:val="0"/>
          <w:i/>
          <w:sz w:val="16"/>
        </w:rPr>
        <w:t>[Alt text for Figure 2, required at submission: Panel a is a dot plot of posterior probability between 0.3 and 0.9 against the six 00:19 treatments; all points lie between 0.45 and 0.63, close to the equal-prior line at 0.5. Panel b shows two single-product density curves about 0.2 degrees apart with their mixture between them.]</w:t>
      </w:r>
    </w:p>
    <w:p>
      <w:r>
        <w:t>Figure 2 shows that the posterior weight of either product stays close to the equal prior of one half under every treatment and every composed product, and that the two products give impact distributions whose medians differ by about 0.2°.</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pPr>
        <w:jc w:val="center"/>
      </w:pPr>
      <w:r>
        <w:drawing>
          <wp:inline xmlns:a="http://schemas.openxmlformats.org/drawingml/2006/main" xmlns:pic="http://schemas.openxmlformats.org/drawingml/2006/picture">
            <wp:extent cx="5760000" cy="5320588"/>
            <wp:docPr id="3" name="Picture 3"/>
            <wp:cNvGraphicFramePr>
              <a:graphicFrameLocks noChangeAspect="1"/>
            </wp:cNvGraphicFramePr>
            <a:graphic>
              <a:graphicData uri="http://schemas.openxmlformats.org/drawingml/2006/picture">
                <pic:pic>
                  <pic:nvPicPr>
                    <pic:cNvPr id="0" name="fig2-impact-regions.png"/>
                    <pic:cNvPicPr/>
                  </pic:nvPicPr>
                  <pic:blipFill>
                    <a:blip r:embed="rId12"/>
                    <a:stretch>
                      <a:fillRect/>
                    </a:stretch>
                  </pic:blipFill>
                  <pic:spPr>
                    <a:xfrm>
                      <a:off x="0" y="0"/>
                      <a:ext cx="5760000" cy="5320588"/>
                    </a:xfrm>
                    <a:prstGeom prst="rect"/>
                  </pic:spPr>
                </pic:pic>
              </a:graphicData>
            </a:graphic>
          </wp:inline>
        </w:drawing>
      </w:r>
    </w:p>
    <w:p>
      <w:r>
        <w:rPr>
          <w:b w:val="0"/>
          <w:i/>
          <w:sz w:val="20"/>
        </w:rPr>
        <w:t>Figure 3.  Highest-density impact regions under the first burst timing offset alone. Dark: 50% region. Light: 90% region. Cross: mean position. (a) Flight and end of flight only. (b) With the drift term. (c) With the drift and search terms. (d) Free-flight stratum alone, with drift. (e), (f) With the imagery term, conditional on the imaged objects being debris from this aircraft. Not converged: the two halves of the replicate set give areas differing by 13 to 41%.</w:t>
      </w:r>
    </w:p>
    <w:p>
      <w:r>
        <w:rPr>
          <w:b w:val="0"/>
          <w:i/>
          <w:sz w:val="16"/>
        </w:rPr>
        <w:t>[Alt text for Figure 3, required at submission: Six maps of latitude 27 to 41 degrees south against longitude 84 to 101 degrees east. The shaded region is a narrow band running south-west to north-east. It grows from panel a to panel c as the drift and search terms are added, and contracts markedly in panels e and f under the imagery hypothesis.]</w:t>
      </w:r>
    </w:p>
    <w:p>
      <w:r>
        <w:t>Figure 3 shows the effect as regions rather than as marginals: the 50% region grows from 16,000km² to 51,000km² and the band extends north-east along the arc as the drift and search terms are added in turn.</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3.7.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pPr>
        <w:jc w:val="center"/>
      </w:pPr>
      <w:r>
        <w:drawing>
          <wp:inline xmlns:a="http://schemas.openxmlformats.org/drawingml/2006/main" xmlns:pic="http://schemas.openxmlformats.org/drawingml/2006/picture">
            <wp:extent cx="5760000" cy="5320588"/>
            <wp:docPr id="4" name="Picture 4"/>
            <wp:cNvGraphicFramePr>
              <a:graphicFrameLocks noChangeAspect="1"/>
            </wp:cNvGraphicFramePr>
            <a:graphic>
              <a:graphicData uri="http://schemas.openxmlformats.org/drawingml/2006/picture">
                <pic:pic>
                  <pic:nvPicPr>
                    <pic:cNvPr id="0" name="fig5-seabed.png"/>
                    <pic:cNvPicPr/>
                  </pic:nvPicPr>
                  <pic:blipFill>
                    <a:blip r:embed="rId13"/>
                    <a:stretch>
                      <a:fillRect/>
                    </a:stretch>
                  </pic:blipFill>
                  <pic:spPr>
                    <a:xfrm>
                      <a:off x="0" y="0"/>
                      <a:ext cx="5760000" cy="5320588"/>
                    </a:xfrm>
                    <a:prstGeom prst="rect"/>
                  </pic:spPr>
                </pic:pic>
              </a:graphicData>
            </a:graphic>
          </wp:inline>
        </w:drawing>
      </w:r>
    </w:p>
    <w:p>
      <w:r>
        <w:rPr>
          <w:b w:val="0"/>
          <w:i/>
          <w:sz w:val="20"/>
        </w:rPr>
        <w:t>Figure 4.  Seabed regions for the wreckage field, with the 90% impact region overlaid as a dashed outline. Dark: 50% region. Light: 90% region. Upper row: 00:19Z observations held out. Lower row: first burst timing offset only. Columns: flight and end of flight; with the drift and search terms; with the imagery and search terms. Breakup in the air is not modelled for the field, and these regions are not a search plan.</w:t>
      </w:r>
    </w:p>
    <w:p>
      <w:r>
        <w:rPr>
          <w:b w:val="0"/>
          <w:i/>
          <w:sz w:val="16"/>
        </w:rPr>
        <w:t>[Alt text for Figure 4, required at submission: Six maps on the same axes as Figure 3, each showing a shaded seabed region with a dashed outline of the impact region almost coincident with it, confirming that the wreckage moves little during the descent through the water column.]</w:t>
      </w:r>
    </w:p>
    <w:p>
      <w:r>
        <w:t>Figure 4 places the seabed regions against the impact regions they derive from; the dashed outline of the impact region is almost coincident with the seabed region in every panel.</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3.8.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3.9.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pPr>
        <w:jc w:val="center"/>
      </w:pPr>
      <w:r>
        <w:drawing>
          <wp:inline xmlns:a="http://schemas.openxmlformats.org/drawingml/2006/main" xmlns:pic="http://schemas.openxmlformats.org/drawingml/2006/picture">
            <wp:extent cx="5760000" cy="4195767"/>
            <wp:docPr id="5" name="Picture 5"/>
            <wp:cNvGraphicFramePr>
              <a:graphicFrameLocks noChangeAspect="1"/>
            </wp:cNvGraphicFramePr>
            <a:graphic>
              <a:graphicData uri="http://schemas.openxmlformats.org/drawingml/2006/picture">
                <pic:pic>
                  <pic:nvPicPr>
                    <pic:cNvPr id="0" name="fig4-coverage-ess.png"/>
                    <pic:cNvPicPr/>
                  </pic:nvPicPr>
                  <pic:blipFill>
                    <a:blip r:embed="rId14"/>
                    <a:stretch>
                      <a:fillRect/>
                    </a:stretch>
                  </pic:blipFill>
                  <pic:spPr>
                    <a:xfrm>
                      <a:off x="0" y="0"/>
                      <a:ext cx="5760000" cy="4195767"/>
                    </a:xfrm>
                    <a:prstGeom prst="rect"/>
                  </pic:spPr>
                </pic:pic>
              </a:graphicData>
            </a:graphic>
          </wp:inline>
        </w:drawing>
      </w:r>
    </w:p>
    <w:p>
      <w:r>
        <w:rPr>
          <w:b w:val="0"/>
          <w:i/>
          <w:sz w:val="20"/>
        </w:rPr>
        <w:t>Figure 5.  Effective sample size for every combination of 00:19Z data treatment, assumed cause of the power interruption and composed evidence product, for all end-of-flight families (a) and for the unpiloted family alone (b). Values below 1,000, outlined, are not estimable. Note the logarithmic scale.</w:t>
      </w:r>
    </w:p>
    <w:p>
      <w:r>
        <w:rPr>
          <w:b w:val="0"/>
          <w:i/>
          <w:sz w:val="16"/>
        </w:rPr>
        <w:t>[Alt text for Figure 5, required at submission: Two heat-map tables of effective sample size on a logarithmic scale from ten to one million. Values fall from several hundred thousand in the leftmost column to tens in the rightmost. Cells below one thousand, concentrated in the lower right of both panels, are outlined.]</w:t>
      </w:r>
    </w:p>
    <w:p>
      <w:r>
        <w:t>Figure 5 gives the effective sample size of every cell, and is the diagnostic on which the estimability statements of Sections 3.4 and 3.9 rest: the values fall by four orders of magnitude from left to right across the composition.</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3.10.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the last radar fix at 18:01Z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REFERENCES</w:t>
      </w:r>
    </w:p>
    <w:p>
      <w:r>
        <w:rPr>
          <w:sz w:val="20"/>
        </w:rPr>
        <w:t>Ashton, C., Shuster Bruce, A., Colledge, G. and Dickinson, M. (2015). The Search for MH370. The Journal of Navigation, 68, 1-22. https://doi.org/10.1017/S037346331400068X.</w:t>
      </w:r>
    </w:p>
    <w:p>
      <w:r>
        <w:rPr>
          <w:sz w:val="20"/>
        </w:rPr>
        <w:t>Davey, S., Gordon, N., Holland, I., Rutten, M. and Williams, J. (2016). Bayesian Methods in the Search for MH370. Springer. https://doi.org/10.1007/978-981-10-0379-0.</w:t>
      </w:r>
    </w:p>
    <w:p>
      <w:r>
        <w:rPr>
          <w:sz w:val="20"/>
        </w:rPr>
        <w:t>Holland, I. D. (2018). MH370 Burst Frequency Offset Analysis and Implications on Descent Rate at End-of-Flight. IEEE Aerospace and Electronic Systems Magazine, 33, 24-33. https://doi.org/10.1109/MAES.2018.170048.</w:t>
      </w:r>
    </w:p>
    <w:p>
      <w:r>
        <w:rPr>
          <w:sz w:val="20"/>
        </w:rPr>
        <w:t>Lellouche, J.-M., Greiner, E., Bourdalle-Badie, R. and others (2021). The Copernicus Global 1/12 degree Oceanic and Sea Ice GLORYS12 Reanalysis. Frontiers in Earth Science, 9, 698876. https://doi.org/10.3389/feart.2021.698876. [AUTHOR LIST TO BE COMPLETED]</w:t>
      </w:r>
    </w:p>
    <w:p>
      <w:r>
        <w:rPr>
          <w:sz w:val="20"/>
        </w:rPr>
        <w:t>Minchin, S., Mueller, N., Lewis, A., Byrne, G. and Tran, M. (2017). Summary of imagery analyses for non-natural objects in support of the search for Flight MH370: Results from the analysis of imagery from the PLEIADES 1A satellite undertaken by Geoscience Australia. Geoscience Australia, Record 2017/013. https://doi.org/10.11636/record.2017.013.</w:t>
      </w:r>
    </w:p>
    <w:p>
      <w:r>
        <w:rPr>
          <w:sz w:val="20"/>
        </w:rPr>
        <w:t>Ng, H.-F., Zhong, Y., Groves, P. D. and Hsu, L.-T. (2024). Grid-based 3DMA GNSS with clustering and Doppler velocity. The Journal of Navigation, 77, 658-676. [VERIFY DOI]</w:t>
      </w:r>
    </w:p>
    <w:p>
      <w:r>
        <w:rPr>
          <w:sz w:val="20"/>
        </w:rPr>
        <w:t>Stone, L. D., Keller, C. M., Kratzke, T. M. and Strumpfer, J. P. (2014). Search for the Wreckage of Air France Flight AF 447. Statistical Science, 29, 69-80. https://doi.org/10.1214/13-STS420.</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