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MH370 Research Conversation and Scientific Audit</w:t>
      </w:r>
    </w:p>
    <w:p>
      <w:pPr>
        <w:jc w:val="center"/>
      </w:pPr>
      <w:r>
        <w:rPr>
          <w:i/>
          <w:sz w:val="22"/>
        </w:rPr>
        <w:t>Conversation through 9 August 2026</w:t>
      </w:r>
    </w:p>
    <w:p>
      <w:pPr>
        <w:spacing w:after="200"/>
      </w:pPr>
      <w:r>
        <w:rPr>
          <w:b/>
        </w:rPr>
        <w:t xml:space="preserve">Transcript note. </w:t>
      </w:r>
      <w:r>
        <w:t>This document was generated from the active ChatGPT conversation context. The environment does not expose a raw chat-export endpoint. User prompts are reproduced from the available conversation context; earlier long assistant replies are faithfully reconstructed from that context and preserve their substantive content, but are not guaranteed to be character-for-character copies. The final audit below is the current reviewed position and supersedes earlier statements where noted.</w:t>
      </w:r>
    </w:p>
    <w:p>
      <w:pPr>
        <w:pStyle w:val="Heading1"/>
      </w:pPr>
      <w:r>
        <w:t>Conversation Record</w:t>
      </w:r>
    </w:p>
    <w:tbl>
      <w:tblPr>
        <w:tblW w:type="auto" w:w="0"/>
        <w:jc w:val="center"/>
        <w:tblLayout w:type="autofit"/>
        <w:tblLook w:firstColumn="1" w:firstRow="1" w:lastColumn="0" w:lastRow="0" w:noHBand="0" w:noVBand="1" w:val="04A0"/>
      </w:tblPr>
      <w:tblGrid>
        <w:gridCol w:w="10224"/>
      </w:tblGrid>
      <w:tr>
        <w:tc>
          <w:tcPr>
            <w:tcW w:type="dxa" w:w="10224"/>
            <w:shd w:fill="EAF2F8"/>
            <w:vAlign w:val="center"/>
          </w:tcPr>
          <w:p>
            <w:r>
              <w:rPr>
                <w:b/>
                <w:sz w:val="20"/>
              </w:rPr>
              <w:t>User prompt 1</w:t>
            </w:r>
          </w:p>
          <w:p>
            <w:pPr>
              <w:spacing w:after="120" w:line="252" w:lineRule="auto"/>
            </w:pPr>
            <w:r>
              <w:rPr>
                <w:sz w:val="19"/>
              </w:rPr>
              <w:t>I am writing a research paper on MH370, the outline for which can be seen in one of the source documents. In 2018-2019 I wrote the doctoral dissertation which is also in the source documents, including a meta-analysis and a novel use of received power combined with AES antenna gain as an additional source of information. Here's some things I'd like to see if you can help with, please let me know which of them you can and cannot assist with: 1)search the internet for new information since 2017 including new published studies using satellite, ocean drift or other data which may be useful for the meta-analysis, also for updated information on the total search volume to date including by Ocean Infinity, 2) reproduce the meta-analyses 3) reproduce the antenna gain model and spatial/trajectory estimates including BTO, BFO, aircraft dynamics and the received power model, 4) reproduce the analysis used int e bayesian methods book in the source documents allowing for different weighting of the variables especially BFO, different MACH number sampling, extension and incorporation of the received power/antenna gain observable, and to allow for different assumptions regarding the end of flight at and immediately after 00:19 UTC/00:19Z 5) reproduce Holland (2017) and compare with results from Large thesis. More to come but that's a start.</w:t>
            </w:r>
          </w:p>
        </w:tc>
      </w:tr>
    </w:tbl>
    <w:p>
      <w:pPr>
        <w:spacing w:after="60"/>
      </w:pPr>
    </w:p>
    <w:tbl>
      <w:tblPr>
        <w:tblW w:type="auto" w:w="0"/>
        <w:jc w:val="center"/>
        <w:tblLayout w:type="autofit"/>
        <w:tblLook w:firstColumn="1" w:firstRow="1" w:lastColumn="0" w:lastRow="0" w:noHBand="0" w:noVBand="1" w:val="04A0"/>
      </w:tblPr>
      <w:tblGrid>
        <w:gridCol w:w="10224"/>
      </w:tblGrid>
      <w:tr>
        <w:tc>
          <w:tcPr>
            <w:tcW w:type="dxa" w:w="10224"/>
            <w:shd w:fill="F2F2F2"/>
            <w:vAlign w:val="center"/>
          </w:tcPr>
          <w:p>
            <w:r>
              <w:rPr>
                <w:b/>
                <w:sz w:val="20"/>
              </w:rPr>
              <w:t>Assistant response 1 (reconstructed)</w:t>
            </w:r>
          </w:p>
          <w:p>
            <w:pPr>
              <w:spacing w:after="120" w:line="252" w:lineRule="auto"/>
            </w:pPr>
            <w:r>
              <w:rPr>
                <w:sz w:val="19"/>
              </w:rPr>
              <w:t>Yes. I can assist with all five, including numerical reproduction and extensions rather than only a literature review. Exact bit-for-bit reproduction may be limited where unpublished code, proprietary parameters or undocumented implementation choices are unavailable, but those gaps can be identified explicitly rather than silently replaced with assumptions.</w:t>
            </w:r>
          </w:p>
          <w:p>
            <w:pPr>
              <w:spacing w:after="120" w:line="252" w:lineRule="auto"/>
            </w:pPr>
            <w:r>
              <w:rPr>
                <w:sz w:val="19"/>
              </w:rPr>
              <w:t>The suggested programme was: (1) update the evidence base from 2017–2026 across satellite/BTO/BFO, flight dynamics/end-of-flight, ocean drift/debris, acoustic/seismic and search results; (2) reproduce the original dissertation meta-analysis before changing it; (3) rebuild the antenna-gain/received-power model and combine it with BTO/BFO and aircraft geometry; (4) independently reproduce the DST Group Bayesian Methods particle-filter analysis, then vary BFO treatment, Mach/speed priors, received-power/antenna-gain terms and end-of-flight hypotheses; and (5) reproduce Holland’s end-of-flight BFO analysis and compare it directly with the dissertation.</w:t>
            </w:r>
          </w:p>
          <w:p>
            <w:pPr>
              <w:spacing w:after="120" w:line="252" w:lineRule="auto"/>
            </w:pPr>
            <w:r>
              <w:rPr>
                <w:sz w:val="19"/>
              </w:rPr>
              <w:t>The response proposed a configurable integrated inference model in which historical analyses could be reproduced by switching evidence terms and priors on or off. It also recommended a provenance/reproducibility matrix recording source, input data, assumptions, reproduced result, reproduction error and modification for every result in the new paper.</w:t>
            </w:r>
          </w:p>
        </w:tc>
      </w:tr>
    </w:tbl>
    <w:p>
      <w:pPr>
        <w:spacing w:after="60"/>
      </w:pPr>
    </w:p>
    <w:tbl>
      <w:tblPr>
        <w:tblW w:type="auto" w:w="0"/>
        <w:jc w:val="center"/>
        <w:tblLayout w:type="autofit"/>
        <w:tblLook w:firstColumn="1" w:firstRow="1" w:lastColumn="0" w:lastRow="0" w:noHBand="0" w:noVBand="1" w:val="04A0"/>
      </w:tblPr>
      <w:tblGrid>
        <w:gridCol w:w="10224"/>
      </w:tblGrid>
      <w:tr>
        <w:tc>
          <w:tcPr>
            <w:tcW w:type="dxa" w:w="10224"/>
            <w:shd w:fill="EAF2F8"/>
            <w:vAlign w:val="center"/>
          </w:tcPr>
          <w:p>
            <w:r>
              <w:rPr>
                <w:b/>
                <w:sz w:val="20"/>
              </w:rPr>
              <w:t>User prompt 2</w:t>
            </w:r>
          </w:p>
          <w:p>
            <w:pPr>
              <w:spacing w:after="120" w:line="252" w:lineRule="auto"/>
            </w:pPr>
            <w:r>
              <w:rPr>
                <w:sz w:val="19"/>
              </w:rPr>
              <w:t>yes let's start with the literature search/update. One question in the meantime, could the integrated inference model also include ocean drift studies, i.e. factor in a probability density of source locations based on an ocean drift model or a some kind of conglomerated model from all the studies found so far?</w:t>
            </w:r>
          </w:p>
        </w:tc>
      </w:tr>
    </w:tbl>
    <w:p>
      <w:pPr>
        <w:spacing w:after="60"/>
      </w:pPr>
    </w:p>
    <w:tbl>
      <w:tblPr>
        <w:tblW w:type="auto" w:w="0"/>
        <w:jc w:val="center"/>
        <w:tblLayout w:type="autofit"/>
        <w:tblLook w:firstColumn="1" w:firstRow="1" w:lastColumn="0" w:lastRow="0" w:noHBand="0" w:noVBand="1" w:val="04A0"/>
      </w:tblPr>
      <w:tblGrid>
        <w:gridCol w:w="10224"/>
      </w:tblGrid>
      <w:tr>
        <w:tc>
          <w:tcPr>
            <w:tcW w:type="dxa" w:w="10224"/>
            <w:shd w:fill="F2F2F2"/>
            <w:vAlign w:val="center"/>
          </w:tcPr>
          <w:p>
            <w:r>
              <w:rPr>
                <w:b/>
                <w:sz w:val="20"/>
              </w:rPr>
              <w:t>Assistant response 2 (reconstructed)</w:t>
            </w:r>
          </w:p>
          <w:p>
            <w:pPr>
              <w:spacing w:after="120" w:line="252" w:lineRule="auto"/>
            </w:pPr>
            <w:r>
              <w:rPr>
                <w:sz w:val="19"/>
              </w:rPr>
              <w:t>Yes. Ocean-drift evidence can be incorporated as a probabilistic source/impact-location contribution to the integrated model, but it should not be allowed to determine the final location by itself. The response suggested treating the debris evidence as a likelihood over source location and warned against simply multiplying published drift-study posteriors, because many studies use the same debris, related current products and overlapping assumptions.</w:t>
            </w:r>
          </w:p>
          <w:p>
            <w:pPr>
              <w:spacing w:after="120" w:line="252" w:lineRule="auto"/>
            </w:pPr>
            <w:r>
              <w:rPr>
                <w:sz w:val="19"/>
              </w:rPr>
              <w:t>Two approaches were proposed: (a) a dependence-aware ensemble/model average of credible drift probability surfaces; and (b), preferably, reconstruction of a debris likelihood from the underlying observations themselves, with alternative ocean models treated as competing transport models. This would allow the observed debris locations/times, and potentially non-observations, to constrain candidate impact locations while explicitly representing model uncertainty.</w:t>
            </w:r>
          </w:p>
          <w:p>
            <w:pPr>
              <w:spacing w:after="120" w:line="252" w:lineRule="auto"/>
            </w:pPr>
            <w:r>
              <w:rPr>
                <w:sz w:val="19"/>
              </w:rPr>
              <w:t>The response also proposed a spatially varying negative-search term rather than a binary searched/not-searched mask. It began a literature update identifying Miron, Durgadoo, CSIRO and other work, and noted that Ocean Infinity’s search history should be treated carefully because mapped, surveyed and high-resolution wreckage-search area are not interchangeable.</w:t>
            </w:r>
          </w:p>
        </w:tc>
      </w:tr>
    </w:tbl>
    <w:p>
      <w:pPr>
        <w:spacing w:after="60"/>
      </w:pPr>
    </w:p>
    <w:tbl>
      <w:tblPr>
        <w:tblW w:type="auto" w:w="0"/>
        <w:jc w:val="center"/>
        <w:tblLayout w:type="autofit"/>
        <w:tblLook w:firstColumn="1" w:firstRow="1" w:lastColumn="0" w:lastRow="0" w:noHBand="0" w:noVBand="1" w:val="04A0"/>
      </w:tblPr>
      <w:tblGrid>
        <w:gridCol w:w="10224"/>
      </w:tblGrid>
      <w:tr>
        <w:tc>
          <w:tcPr>
            <w:tcW w:type="dxa" w:w="10224"/>
            <w:shd w:fill="EAF2F8"/>
            <w:vAlign w:val="center"/>
          </w:tcPr>
          <w:p>
            <w:r>
              <w:rPr>
                <w:b/>
                <w:sz w:val="20"/>
              </w:rPr>
              <w:t>User prompt 3</w:t>
            </w:r>
          </w:p>
          <w:p>
            <w:pPr>
              <w:spacing w:after="120" w:line="252" w:lineRule="auto"/>
            </w:pPr>
            <w:r>
              <w:rPr>
                <w:sz w:val="19"/>
              </w:rPr>
              <w:t>OK let's do that</w:t>
            </w:r>
          </w:p>
        </w:tc>
      </w:tr>
    </w:tbl>
    <w:p>
      <w:pPr>
        <w:spacing w:after="60"/>
      </w:pPr>
    </w:p>
    <w:tbl>
      <w:tblPr>
        <w:tblW w:type="auto" w:w="0"/>
        <w:jc w:val="center"/>
        <w:tblLayout w:type="autofit"/>
        <w:tblLook w:firstColumn="1" w:firstRow="1" w:lastColumn="0" w:lastRow="0" w:noHBand="0" w:noVBand="1" w:val="04A0"/>
      </w:tblPr>
      <w:tblGrid>
        <w:gridCol w:w="10224"/>
      </w:tblGrid>
      <w:tr>
        <w:tc>
          <w:tcPr>
            <w:tcW w:type="dxa" w:w="10224"/>
            <w:shd w:fill="F2F2F2"/>
            <w:vAlign w:val="center"/>
          </w:tcPr>
          <w:p>
            <w:r>
              <w:rPr>
                <w:b/>
                <w:sz w:val="20"/>
              </w:rPr>
              <w:t>Assistant response 3 (reconstructed)</w:t>
            </w:r>
          </w:p>
          <w:p>
            <w:pPr>
              <w:spacing w:after="120" w:line="252" w:lineRule="auto"/>
            </w:pPr>
            <w:r>
              <w:rPr>
                <w:sz w:val="19"/>
              </w:rPr>
              <w:t>The literature update was organized as a research-grade evidence inventory rather than a loose bibliography. The response identified candidate post-2017 work in several classes: drift/debris studies, barnacle isotope work, hydroacoustics, end-of-flight/BFO reinterpretations, and search-history updates.</w:t>
            </w:r>
          </w:p>
          <w:p>
            <w:pPr>
              <w:spacing w:after="120" w:line="252" w:lineRule="auto"/>
            </w:pPr>
            <w:r>
              <w:rPr>
                <w:sz w:val="19"/>
              </w:rPr>
              <w:t>It highlighted Gao et al. (2018), Miron et al. (2019), Durgadoo et al. (2019), Ivić et al. (2020), Al-Qattan et al. (2023), Kadri (2024) and Lyne (2024), while treating non-peer-reviewed analyses such as Kristensen separately. It proposed four evidence tiers: direct quantitative geospatial estimates; independent observables convertible to spatial likelihoods; reinterpretations of existing observables; and search-method/independent analyses not suitable for direct pooling.</w:t>
            </w:r>
          </w:p>
          <w:p>
            <w:pPr>
              <w:spacing w:after="120" w:line="252" w:lineRule="auto"/>
            </w:pPr>
            <w:r>
              <w:rPr>
                <w:sz w:val="19"/>
              </w:rPr>
              <w:t>The response also emphasized that total search area cannot be obtained by naively adding headline square-kilometre figures because of overlap and different meanings of mapping/survey/search coverage. It proposed a master evidence table and a parallel search-history table.</w:t>
            </w:r>
          </w:p>
        </w:tc>
      </w:tr>
    </w:tbl>
    <w:p>
      <w:pPr>
        <w:spacing w:after="60"/>
      </w:pPr>
    </w:p>
    <w:tbl>
      <w:tblPr>
        <w:tblW w:type="auto" w:w="0"/>
        <w:jc w:val="center"/>
        <w:tblLayout w:type="autofit"/>
        <w:tblLook w:firstColumn="1" w:firstRow="1" w:lastColumn="0" w:lastRow="0" w:noHBand="0" w:noVBand="1" w:val="04A0"/>
      </w:tblPr>
      <w:tblGrid>
        <w:gridCol w:w="10224"/>
      </w:tblGrid>
      <w:tr>
        <w:tc>
          <w:tcPr>
            <w:tcW w:type="dxa" w:w="10224"/>
            <w:shd w:fill="EAF2F8"/>
            <w:vAlign w:val="center"/>
          </w:tcPr>
          <w:p>
            <w:r>
              <w:rPr>
                <w:b/>
                <w:sz w:val="20"/>
              </w:rPr>
              <w:t>User prompt 4</w:t>
            </w:r>
          </w:p>
          <w:p>
            <w:pPr>
              <w:spacing w:after="120" w:line="252" w:lineRule="auto"/>
            </w:pPr>
            <w:r>
              <w:rPr>
                <w:sz w:val="19"/>
              </w:rPr>
              <w:t>I like the approach. Let's proceed as you proposed. Also, can you study the Miron and Durgadoo papers and identify possible reasons why they disagree in their conclusions?</w:t>
            </w:r>
          </w:p>
        </w:tc>
      </w:tr>
    </w:tbl>
    <w:p>
      <w:pPr>
        <w:spacing w:after="60"/>
      </w:pPr>
    </w:p>
    <w:tbl>
      <w:tblPr>
        <w:tblW w:type="auto" w:w="0"/>
        <w:jc w:val="center"/>
        <w:tblLayout w:type="autofit"/>
        <w:tblLook w:firstColumn="1" w:firstRow="1" w:lastColumn="0" w:lastRow="0" w:noHBand="0" w:noVBand="1" w:val="04A0"/>
      </w:tblPr>
      <w:tblGrid>
        <w:gridCol w:w="10224"/>
      </w:tblGrid>
      <w:tr>
        <w:tc>
          <w:tcPr>
            <w:tcW w:type="dxa" w:w="10224"/>
            <w:shd w:fill="F2F2F2"/>
            <w:vAlign w:val="center"/>
          </w:tcPr>
          <w:p>
            <w:r>
              <w:rPr>
                <w:b/>
                <w:sz w:val="20"/>
              </w:rPr>
              <w:t>Assistant response 4 (reconstructed)</w:t>
            </w:r>
          </w:p>
          <w:p>
            <w:pPr>
              <w:spacing w:after="120" w:line="252" w:lineRule="auto"/>
            </w:pPr>
            <w:r>
              <w:rPr>
                <w:sz w:val="19"/>
              </w:rPr>
              <w:t>The comparison found that the apparent ‘Miron ≈25°S versus Durgadoo ≈30–35°S’ disagreement is more nuanced. Miron’s formal Bayesian calculation has a maximum near 31°S and shows northern and southern modes; the paper’s final preference near 25°S relies on additional most-probable-path and observed-drifter arguments. Durgadoo’s seventh-arc-constrained region lies around 30–35°S. Thus the formal quantitative results overlap more than the abstracts imply.</w:t>
            </w:r>
          </w:p>
          <w:p>
            <w:pPr>
              <w:spacing w:after="120" w:line="252" w:lineRule="auto"/>
            </w:pPr>
            <w:r>
              <w:rPr>
                <w:sz w:val="19"/>
              </w:rPr>
              <w:t>Several methodological reasons for differences were identified: Miron uses a historical empirical Markov-chain transport representation based on undrogued drifters, whereas Durgadoo uses event-period operational ocean currents with explicit Stokes drift; the studies differ in treatment of debris physical properties, beaching/discovery timing, debris sets, common-model error and dependence among debris observations; and Miron’s final choice of the northern mode uses additional qualitative path evidence. The response suggested reproducing both frameworks and exchanging components to determine which assumption moves the inferred source north or south.</w:t>
            </w:r>
          </w:p>
          <w:p>
            <w:pPr>
              <w:spacing w:after="120" w:line="252" w:lineRule="auto"/>
            </w:pPr>
            <w:r>
              <w:rPr>
                <w:sz w:val="19"/>
              </w:rPr>
              <w:t>A caution was raised that multiplying individual debris contributions can understate uncertainty if common ocean-model discrepancy induces correlation among debris trajectories.</w:t>
            </w:r>
          </w:p>
        </w:tc>
      </w:tr>
    </w:tbl>
    <w:p>
      <w:pPr>
        <w:spacing w:after="60"/>
      </w:pPr>
    </w:p>
    <w:tbl>
      <w:tblPr>
        <w:tblW w:type="auto" w:w="0"/>
        <w:jc w:val="center"/>
        <w:tblLayout w:type="autofit"/>
        <w:tblLook w:firstColumn="1" w:firstRow="1" w:lastColumn="0" w:lastRow="0" w:noHBand="0" w:noVBand="1" w:val="04A0"/>
      </w:tblPr>
      <w:tblGrid>
        <w:gridCol w:w="10224"/>
      </w:tblGrid>
      <w:tr>
        <w:tc>
          <w:tcPr>
            <w:tcW w:type="dxa" w:w="10224"/>
            <w:shd w:fill="EAF2F8"/>
            <w:vAlign w:val="center"/>
          </w:tcPr>
          <w:p>
            <w:r>
              <w:rPr>
                <w:b/>
                <w:sz w:val="20"/>
              </w:rPr>
              <w:t>User prompt 5</w:t>
            </w:r>
          </w:p>
          <w:p>
            <w:pPr>
              <w:spacing w:after="120" w:line="252" w:lineRule="auto"/>
            </w:pPr>
            <w:r>
              <w:rPr>
                <w:sz w:val="19"/>
              </w:rPr>
              <w:t>The pdf heat map can't be resolved by ocean drift studies alone, but by the combined estimator including BTO/BFO, received power/antenna gain, range of possible aircraft dynamics. Do we have enough statistical meta data for the ocea drift studies to be able to combine them into an ocean drift input to the integrated pdf estimate and can we weight them properly or put a reasonable prior on them from the available information in the studies? how many of thse studies should we include and what criteria to use for inclusion or exclusion?</w:t>
            </w:r>
          </w:p>
        </w:tc>
      </w:tr>
    </w:tbl>
    <w:p>
      <w:pPr>
        <w:spacing w:after="60"/>
      </w:pPr>
    </w:p>
    <w:tbl>
      <w:tblPr>
        <w:tblW w:type="auto" w:w="0"/>
        <w:jc w:val="center"/>
        <w:tblLayout w:type="autofit"/>
        <w:tblLook w:firstColumn="1" w:firstRow="1" w:lastColumn="0" w:lastRow="0" w:noHBand="0" w:noVBand="1" w:val="04A0"/>
      </w:tblPr>
      <w:tblGrid>
        <w:gridCol w:w="10224"/>
      </w:tblGrid>
      <w:tr>
        <w:tc>
          <w:tcPr>
            <w:tcW w:type="dxa" w:w="10224"/>
            <w:shd w:fill="F2F2F2"/>
            <w:vAlign w:val="center"/>
          </w:tcPr>
          <w:p>
            <w:r>
              <w:rPr>
                <w:b/>
                <w:sz w:val="20"/>
              </w:rPr>
              <w:t>Assistant response 5 (reconstructed)</w:t>
            </w:r>
          </w:p>
          <w:p>
            <w:pPr>
              <w:spacing w:after="120" w:line="252" w:lineRule="auto"/>
            </w:pPr>
            <w:r>
              <w:rPr>
                <w:sz w:val="19"/>
              </w:rPr>
              <w:t>The response agreed that drift should provide one evidence layer rather than the final heat map. It argued that there is enough information to build a defensible drift contribution, but generally not as a conventional inverse-variance meta-analysis because many papers provide particle-density maps, posterior surfaces or broad regions rather than a mean and standard error.</w:t>
            </w:r>
          </w:p>
          <w:p>
            <w:pPr>
              <w:spacing w:after="120" w:line="252" w:lineRule="auto"/>
            </w:pPr>
            <w:r>
              <w:rPr>
                <w:sz w:val="19"/>
              </w:rPr>
              <w:t>It proposed Bayesian/model-ensemble synthesis, initially discussing equal prior weight across genuinely independent model families and validation-weighted sensitivity cases. Inclusion criteria were proposed around explicit MH370 source inference, reproducible physical/statistical methodology, relevant observations, quantifiable spatial uncertainty, physically defensible transport, avoidance of circular SATCOM conditioning, and independence at the model-family level. Peer review was not proposed as an absolute requirement because high-quality official technical work such as CSIRO may be more informative than some journal papers.</w:t>
            </w:r>
          </w:p>
          <w:p>
            <w:pPr>
              <w:spacing w:after="120" w:line="252" w:lineRule="auto"/>
            </w:pPr>
            <w:r>
              <w:rPr>
                <w:sz w:val="19"/>
              </w:rPr>
              <w:t>The response correctly warned not to multiply alternative drift-study posteriors as if they were independent observations. It proposed separate primary, sensitivity and literature-only tiers, and argued that multimodality in the drift evidence should be retained rather than forced into a Gaussian.</w:t>
            </w:r>
          </w:p>
        </w:tc>
      </w:tr>
    </w:tbl>
    <w:p>
      <w:pPr>
        <w:spacing w:after="60"/>
      </w:pPr>
    </w:p>
    <w:tbl>
      <w:tblPr>
        <w:tblW w:type="auto" w:w="0"/>
        <w:jc w:val="center"/>
        <w:tblLayout w:type="autofit"/>
        <w:tblLook w:firstColumn="1" w:firstRow="1" w:lastColumn="0" w:lastRow="0" w:noHBand="0" w:noVBand="1" w:val="04A0"/>
      </w:tblPr>
      <w:tblGrid>
        <w:gridCol w:w="10224"/>
      </w:tblGrid>
      <w:tr>
        <w:tc>
          <w:tcPr>
            <w:tcW w:type="dxa" w:w="10224"/>
            <w:shd w:fill="EAF2F8"/>
            <w:vAlign w:val="center"/>
          </w:tcPr>
          <w:p>
            <w:r>
              <w:rPr>
                <w:b/>
                <w:sz w:val="20"/>
              </w:rPr>
              <w:t>User prompt 6</w:t>
            </w:r>
          </w:p>
          <w:p>
            <w:pPr>
              <w:spacing w:after="120" w:line="252" w:lineRule="auto"/>
            </w:pPr>
            <w:r>
              <w:rPr>
                <w:sz w:val="19"/>
              </w:rPr>
              <w:t>Yes let's do that</w:t>
            </w:r>
          </w:p>
        </w:tc>
      </w:tr>
    </w:tbl>
    <w:p>
      <w:pPr>
        <w:spacing w:after="60"/>
      </w:pPr>
    </w:p>
    <w:tbl>
      <w:tblPr>
        <w:tblW w:type="auto" w:w="0"/>
        <w:jc w:val="center"/>
        <w:tblLayout w:type="autofit"/>
        <w:tblLook w:firstColumn="1" w:firstRow="1" w:lastColumn="0" w:lastRow="0" w:noHBand="0" w:noVBand="1" w:val="04A0"/>
      </w:tblPr>
      <w:tblGrid>
        <w:gridCol w:w="10224"/>
      </w:tblGrid>
      <w:tr>
        <w:tc>
          <w:tcPr>
            <w:tcW w:type="dxa" w:w="10224"/>
            <w:shd w:fill="F2F2F2"/>
            <w:vAlign w:val="center"/>
          </w:tcPr>
          <w:p>
            <w:r>
              <w:rPr>
                <w:b/>
                <w:sz w:val="20"/>
              </w:rPr>
              <w:t>Assistant response 6 (reconstructed)</w:t>
            </w:r>
          </w:p>
          <w:p>
            <w:pPr>
              <w:spacing w:after="120" w:line="252" w:lineRule="auto"/>
            </w:pPr>
            <w:r>
              <w:rPr>
                <w:sz w:val="19"/>
              </w:rPr>
              <w:t>A provisional drift-study inventory was proposed, initially naming CSIRO/Griffin, Nesterov, Gao, Durgadoo and Miron as core candidate families, with Al-Qattan’s barnacle isotope work treated separately as auxiliary geochemical evidence rather than an ordinary sixth model. Ivić was placed outside the source-location ensemble because it addresses search strategy rather than inverse crash-site inference.</w:t>
            </w:r>
          </w:p>
          <w:p>
            <w:pPr>
              <w:spacing w:after="120" w:line="252" w:lineRule="auto"/>
            </w:pPr>
            <w:r>
              <w:rPr>
                <w:sz w:val="19"/>
              </w:rPr>
              <w:t>The response suggested starting with an agnostic equal-family model prior and then a validation-weighted ensemble based only on external predictive information such as drifter skill, object-response validation, event-state fidelity, uncertainty propagation, numerical convergence, temporal uncertainty and transparency. Bayesian stacking was mentioned as a possible advanced option if comparable out-of-sample predictive densities can be constructed.</w:t>
            </w:r>
          </w:p>
          <w:p>
            <w:pPr>
              <w:spacing w:after="120" w:line="252" w:lineRule="auto"/>
            </w:pPr>
            <w:r>
              <w:rPr>
                <w:sz w:val="19"/>
              </w:rPr>
              <w:t>It also identified a key decomposition issue: Nesterov and CSIRO already embed multiple observations such as aerial-search non-detection, temperature and debris distribution, so those published outputs cannot necessarily be multiplied again by separate likelihood terms without double counting. The next step was to extract each candidate model’s actual spatial probability information and embedded evidence.</w:t>
            </w:r>
          </w:p>
        </w:tc>
      </w:tr>
    </w:tbl>
    <w:p>
      <w:pPr>
        <w:spacing w:after="60"/>
      </w:pPr>
    </w:p>
    <w:tbl>
      <w:tblPr>
        <w:tblW w:type="auto" w:w="0"/>
        <w:jc w:val="center"/>
        <w:tblLayout w:type="autofit"/>
        <w:tblLook w:firstColumn="1" w:firstRow="1" w:lastColumn="0" w:lastRow="0" w:noHBand="0" w:noVBand="1" w:val="04A0"/>
      </w:tblPr>
      <w:tblGrid>
        <w:gridCol w:w="10224"/>
      </w:tblGrid>
      <w:tr>
        <w:tc>
          <w:tcPr>
            <w:tcW w:type="dxa" w:w="10224"/>
            <w:shd w:fill="EAF2F8"/>
            <w:vAlign w:val="center"/>
          </w:tcPr>
          <w:p>
            <w:r>
              <w:rPr>
                <w:b/>
                <w:sz w:val="20"/>
              </w:rPr>
              <w:t>User prompt 7</w:t>
            </w:r>
          </w:p>
          <w:p>
            <w:pPr>
              <w:spacing w:after="120" w:line="252" w:lineRule="auto"/>
            </w:pPr>
            <w:r>
              <w:rPr>
                <w:sz w:val="19"/>
              </w:rPr>
              <w:t>I just selected a higher power model, can you review the above from the beginning to look for any issues, corrections or modifications? also can you please create a document for me including all prompts and responses from the beginning up to this point?</w:t>
            </w:r>
          </w:p>
        </w:tc>
      </w:tr>
    </w:tbl>
    <w:p>
      <w:pPr>
        <w:spacing w:after="60"/>
      </w:pPr>
    </w:p>
    <w:tbl>
      <w:tblPr>
        <w:tblW w:type="auto" w:w="0"/>
        <w:jc w:val="center"/>
        <w:tblLayout w:type="autofit"/>
        <w:tblLook w:firstColumn="1" w:firstRow="1" w:lastColumn="0" w:lastRow="0" w:noHBand="0" w:noVBand="1" w:val="04A0"/>
      </w:tblPr>
      <w:tblGrid>
        <w:gridCol w:w="10224"/>
      </w:tblGrid>
      <w:tr>
        <w:tc>
          <w:tcPr>
            <w:tcW w:type="dxa" w:w="10224"/>
            <w:shd w:fill="F2F2F2"/>
            <w:vAlign w:val="center"/>
          </w:tcPr>
          <w:p>
            <w:r>
              <w:rPr>
                <w:b/>
                <w:sz w:val="20"/>
              </w:rPr>
              <w:t>Assistant response 7 (current audit)</w:t>
            </w:r>
          </w:p>
          <w:p>
            <w:pPr>
              <w:spacing w:after="120" w:line="252" w:lineRule="auto"/>
            </w:pPr>
            <w:r>
              <w:rPr>
                <w:sz w:val="19"/>
              </w:rPr>
              <w:t>The overall research direction is sound, but this re-review found several important corrections and methodological refinements.</w:t>
            </w:r>
          </w:p>
          <w:p>
            <w:pPr>
              <w:spacing w:after="120" w:line="252" w:lineRule="auto"/>
            </w:pPr>
            <w:r>
              <w:rPr>
                <w:sz w:val="19"/>
              </w:rPr>
              <w:t>1. Literature baseline. The 2019 dissertation already discusses/cites Nesterov (2018) and Miron et al. (2019), and cites the earlier Durgadoo et al. (2016) flaperon work. Therefore the update should not be framed simply as ‘studies since 2017’. We should search from 2017 onward for completeness, but tag every record as (a) already included in the dissertation meta-analysis, (b) mentioned but not quantitatively included, (c) a later development of an existing model lineage, or (d) genuinely new evidence after the dissertation freeze. Gao et al. (2018), for example, does not appear in the supplied dissertation text and therefore deserves specific review.</w:t>
            </w:r>
          </w:p>
          <w:p>
            <w:pPr>
              <w:spacing w:after="120" w:line="252" w:lineRule="auto"/>
            </w:pPr>
            <w:r>
              <w:rPr>
                <w:sz w:val="19"/>
              </w:rPr>
              <w:t>2. Miron–Durgadoo correction. The published Chaos paper uses 1.5° × 1.5° Markov boxes. An arXiv text rendering encountered during the audit displays 0.25°, which conflicts with the version of record; the published paper must control. The earlier substantive point remains: Miron’s formal Bayesian maximum is around 31°S, while its final preferred interpretation near 25°S uses additional most-probable-path/drifter reasoning. Durgadoo’s selected seventh-arc region is around 30–35°S. Also, Durgadoo’s reference transport is ocean current + Stokes drift; direct object windage is assumed negligible. Earlier shorthand saying ‘winds/leeway’ was imprecise.</w:t>
            </w:r>
          </w:p>
          <w:p>
            <w:pPr>
              <w:spacing w:after="120" w:line="252" w:lineRule="auto"/>
            </w:pPr>
            <w:r>
              <w:rPr>
                <w:sz w:val="19"/>
              </w:rPr>
              <w:t>3. Do not pre-commit to five independent drift families. Durgadoo 2019 is a later development of the Durgadoo 2016 lineage already cited in the dissertation. Nesterov and CSIRO are hybrid analyses that embed several observations in addition to transport. The correct count of independent transport families should be decided only after a provenance/lineage audit. A plausible final set may be roughly four to six, but the number is an output of the inclusion process, not an input.</w:t>
            </w:r>
          </w:p>
          <w:p>
            <w:pPr>
              <w:spacing w:after="120" w:line="252" w:lineRule="auto"/>
            </w:pPr>
            <w:r>
              <w:rPr>
                <w:sz w:val="19"/>
              </w:rPr>
              <w:t>4. Published posterior maps are not automatically commensurable likelihoods. A posterior from study m is proportional to likelihood × prior. If we want to combine studies into a common ocean term, the preferred object is p(D_debris | x_impact, M_m), not the published p(x | D, M_m). Where a study’s prior is known, a posterior can sometimes be converted back to a relative likelihood by dividing out that prior. Where it is not, we should either reproduce the model or use the published surface only in a sensitivity analysis. Blindly averaging posteriors would mix different priors and conditioning assumptions.</w:t>
            </w:r>
          </w:p>
          <w:p>
            <w:pPr>
              <w:spacing w:after="120" w:line="252" w:lineRule="auto"/>
            </w:pPr>
            <w:r>
              <w:rPr>
                <w:sz w:val="19"/>
              </w:rPr>
              <w:t>5. Separate the 7th-arc aircraft state from the impact point. This is the most important architectural change. Let x_7 denote aircraft state at the final SATCOM epoch and x_I the actual impact location. BTO/BFO/received power constrain the trajectory and x_7; ocean drift and seabed-search non-detection constrain x_I; an end-of-flight transition p(x_I | x_7, H_EOF, dynamics) connects them. A single x used for every likelihood would incorrectly assume that the aircraft’s 00:19 location and wreckage impact point are identical.</w:t>
            </w:r>
          </w:p>
          <w:p>
            <w:pPr>
              <w:spacing w:after="120" w:line="252" w:lineRule="auto"/>
            </w:pPr>
            <w:r>
              <w:rPr>
                <w:sz w:val="19"/>
              </w:rPr>
              <w:t>6. Aircraft dynamics belongs primarily in the process/prior model, not as an independent likelihood multiplier. A cleaner generative form is p(x_0:T, theta | flight dynamics) multiplied by measurement likelihoods. This also prevents the same constraints being counted twice.</w:t>
            </w:r>
          </w:p>
          <w:p>
            <w:pPr>
              <w:spacing w:after="120" w:line="252" w:lineRule="auto"/>
            </w:pPr>
            <w:r>
              <w:rPr>
                <w:sz w:val="19"/>
              </w:rPr>
              <w:t>7. BTO, BFO and received power are not automatically conditionally independent. They share satellite/aircraft geometry and some calibration/system nuisance variables. The dissertation explicitly combined BFO and power residuals under a conditional-independence assumption. In the new model we should test that assumption and, where practical, introduce shared nuisance parameters for satellite state, oscillator/calibration offsets, transmit-power/system variation and RF fading. The gain/power observable remains highly promising, but its information content should not be overstated by multiplying correlated likelihoods.</w:t>
            </w:r>
          </w:p>
          <w:p>
            <w:pPr>
              <w:spacing w:after="120" w:line="252" w:lineRule="auto"/>
            </w:pPr>
            <w:r>
              <w:rPr>
                <w:sz w:val="19"/>
              </w:rPr>
              <w:t>8. The DST Bayesian Methods reproduction needs a more precise BFO experiment design. The book used BTO and BFO through 00:11 but explicitly discarded the 18:25 and final 00:19 BFOs as unreliable/transient. It reports that changing the assumed BFO noise standard deviation had little effect on the southern mode except at unrealistically small noise. Therefore ‘different BFO weighting’ should not be our main formulation. Better experiments are: robust/heavy-tailed BFO errors; explicit channel/start-up bias states; power-likelihood tempering as a sensitivity study; and a separate extension that admits the final 00:19 BFOs under alternative transient models. Adding the 00:19 BFOs is a new model extension, not simply reweighting an existing term.</w:t>
            </w:r>
          </w:p>
          <w:p>
            <w:pPr>
              <w:spacing w:after="120" w:line="252" w:lineRule="auto"/>
            </w:pPr>
            <w:r>
              <w:rPr>
                <w:sz w:val="19"/>
              </w:rPr>
              <w:t>9. End-of-flight treatment should be explicitly model-averaged. The DST book takes the particle-filter PDF at 00:19 and convolves it with an end-of-flight kernel; its indicative kernel was a 15 NM uniform disc with Gaussian fall-off (30 NM standard deviation outside), reflecting then-current accident-investigator judgement and an unpowered scenario. We should reproduce that exactly as the historical baseline and then replace it with competing EOF hypotheses: uncontrolled fuel-exhaustion descent, shallower/longer uncontrolled flight, controlled/gliding continuation, and other physically defensible states. Each hypothesis gets its own p(x_I | x_7, H_EOF).</w:t>
            </w:r>
          </w:p>
          <w:p>
            <w:pPr>
              <w:spacing w:after="120" w:line="252" w:lineRule="auto"/>
            </w:pPr>
            <w:r>
              <w:rPr>
                <w:sz w:val="19"/>
              </w:rPr>
              <w:t>10. Holland should be cited carefully as a 2017 preprint / 2018 IEEE publication. The published analysis bounds descent at about 2,900–14,800 fpm at 00:19:29 and 13,800–25,300 fpm eight seconds later, conditional on its BFO/transient assumptions. The dissertation specifically questions the transient treatment of the R600 message and arrives at much lower implied descent under that alternative. This makes the Holland–Large comparison especially valuable: we should use identical satellite geometry and raw BFOs, then change only the transient-bias assumptions and track/vertical-motion formulation.</w:t>
            </w:r>
          </w:p>
          <w:p>
            <w:pPr>
              <w:spacing w:after="120" w:line="252" w:lineRule="auto"/>
            </w:pPr>
            <w:r>
              <w:rPr>
                <w:sz w:val="19"/>
              </w:rPr>
              <w:t>11. The original dissertation’s ocean-drift homogeneity finding should be reproduced, not inherited. It found the 12-study drift subgroup statistically homogeneous around ~30°S under its imputations, but explicitly noted possible selection bias and broad imputed uncertainty. A new analysis should first reproduce that Q-test/meta-analysis, then run the modern spatial-likelihood/model-ensemble synthesis. These are different analyses and should be presented as such.</w:t>
            </w:r>
          </w:p>
          <w:p>
            <w:pPr>
              <w:spacing w:after="120" w:line="252" w:lineRule="auto"/>
            </w:pPr>
            <w:r>
              <w:rPr>
                <w:sz w:val="19"/>
              </w:rPr>
              <w:t>12. Drift-model weighting. Equal weight by independent model family is defensible only as a baseline sensitivity prior, not yet as the preferred analysis. Better weights would come from external predictive validation: held-out drifter trajectories, debris-object drift experiments, or hold-out debris arrival/time predictions. Bayesian stacking is attractive only if comparable out-of-sample predictive densities exist. If not, use a transparent prior over model weights (for example a Dirichlet family) and show robustness of the final posterior across plausible weighting regimes rather than inventing precise ‘quality scores’.</w:t>
            </w:r>
          </w:p>
          <w:p>
            <w:pPr>
              <w:spacing w:after="120" w:line="252" w:lineRule="auto"/>
            </w:pPr>
            <w:r>
              <w:rPr>
                <w:sz w:val="19"/>
              </w:rPr>
              <w:t>13. Primary drift inclusion criteria should be tightened. For the primary debris likelihood: use confirmed or, if justified and separately labelled, officially ‘almost certain’ MH370 debris; require a reconstructable source likelihood or simulation output; document transport forcing, Stokes/windage/object parameters, beaching/discovery-time treatment, spatial support and conditioning; group later papers from the same model lineage; and exclude source-location estimates that are tightly conditioned on a SATCOM solution we later intend to count independently. Unconfirmed debris can be retained as a sensitivity tier, not silently mixed into the primary estimator.</w:t>
            </w:r>
          </w:p>
          <w:p>
            <w:pPr>
              <w:spacing w:after="120" w:line="252" w:lineRule="auto"/>
            </w:pPr>
            <w:r>
              <w:rPr>
                <w:sz w:val="19"/>
              </w:rPr>
              <w:t>14. Search non-detection cannot be inferred from total square kilometres alone. The original ATSB search covered &gt;120,000 km² with high-resolution sonar and the 2018 Ocean Infinity search brought the cumulative headline total close to 200,000 km². Ocean Infinity says its missions since 2018 have mapped &gt;140,000 km², but these figures cannot simply be added because of overlap and terminology. The 2025–26 contract covered about 7,571 km² of a 15,000 km² target before the operational phase ended; Malaysia extended the agreement through 30 June 2027 for the remaining 7,428.54 km². To construct L_search we need georeferenced footprints, sensor/terrain/quality information and an estimated detection probability P_D(x), not just area totals.</w:t>
            </w:r>
          </w:p>
          <w:p>
            <w:pPr>
              <w:spacing w:after="120" w:line="252" w:lineRule="auto"/>
            </w:pPr>
            <w:r>
              <w:rPr>
                <w:sz w:val="19"/>
              </w:rPr>
              <w:t>15. New evidence classes should be kept provisional. Al-Qattan’s barnacle isotope work is genuinely new information, but because its particle simulation also uses drift and the known Réunion endpoint, it should enter as a conditional geochemical/trajectory likelihood rather than a simple sixth drift vote. Kadri’s 2024 hydroacoustic work is a candidate auxiliary likelihood but needs reproduction and calibration before it becomes a spatial PDF. Lyne 2024 belongs in the end-of-flight comparison set, but its strong controlled-descent conclusions should be treated as hypotheses to reproduce/test, not accepted as established. WSPR-based claims should remain literature/sensitivity material unless a validated physical/statistical measurement model can be demonstrated.</w:t>
            </w:r>
          </w:p>
          <w:p>
            <w:pPr>
              <w:spacing w:after="120" w:line="252" w:lineRule="auto"/>
            </w:pPr>
            <w:r>
              <w:rPr>
                <w:sz w:val="19"/>
              </w:rPr>
              <w:t>Revised integrated model. The recommended generative structure is:</w:t>
            </w:r>
          </w:p>
          <w:p>
            <w:pPr>
              <w:spacing w:after="120" w:line="252" w:lineRule="auto"/>
            </w:pPr>
            <w:r>
              <w:rPr>
                <w:sz w:val="19"/>
              </w:rPr>
              <w:t>p(x_0:T, x_I, theta, H_EOF, M_ocean | D) ∝ p(x_0:T, theta | flight dynamics) p(H_EOF) p(M_ocean) × p(D_SATCOM | x_0:T, theta) × p(D_RF | x_0:T, theta, calibration) × p(x_I | x_7, H_EOF, theta) × p(D_debris | x_I, M_ocean, object parameters) × p(D_search | x_I, detection map) × p(D_other | x_I, ...).</w:t>
            </w:r>
          </w:p>
          <w:p>
            <w:pPr>
              <w:spacing w:after="120" w:line="252" w:lineRule="auto"/>
            </w:pPr>
            <w:r>
              <w:rPr>
                <w:sz w:val="19"/>
              </w:rPr>
              <w:t>The final heat map is obtained only after marginalising over trajectory, RF/system nuisance parameters, end-of-flight hypothesis and ocean-model uncertainty. This preserves the core idea developed in the conversation but makes the statistical dependencies explicit and avoids double counting.</w:t>
            </w:r>
          </w:p>
          <w:p>
            <w:pPr>
              <w:spacing w:after="120" w:line="252" w:lineRule="auto"/>
            </w:pPr>
            <w:r>
              <w:rPr>
                <w:sz w:val="19"/>
              </w:rPr>
              <w:t>Recommended next sequence: (1) freeze a source/provenance registry and tag every old/new study against the dissertation; (2) reproduce the dissertation’s 38-study meta-analysis exactly; (3) reproduce DST Bayesian Methods exactly, including its original 00:19 kernel and its exclusion of the final BFOs; (4) reproduce the received-power/antenna model and quantify shared RF nuisance terms; (5) reconstruct candidate ocean likelihoods on common spatial support; (6) reproduce Holland and the Large alternative transient treatment; (7) add alternative EOF hypotheses and search non-detection; and only then (8) compute the integrated posterior and sensitivity maps.</w:t>
            </w:r>
          </w:p>
          <w:p>
            <w:pPr>
              <w:spacing w:after="120" w:line="252" w:lineRule="auto"/>
            </w:pPr>
            <w:r>
              <w:rPr>
                <w:sz w:val="19"/>
              </w:rPr>
              <w:t>Bottom line: the project is feasible and the earlier broad architecture was good, but the final paper will be stronger if it is framed as a generative Bayesian evidence-fusion model with explicit state transitions and model uncertainty, rather than as a product of loosely independent likelihood surfaces or a conventional meta-analysis of every published location estimate.</w:t>
            </w:r>
          </w:p>
        </w:tc>
      </w:tr>
    </w:tbl>
    <w:p>
      <w:pPr>
        <w:spacing w:after="60"/>
      </w:pPr>
    </w:p>
    <w:p>
      <w:r>
        <w:br w:type="page"/>
      </w:r>
    </w:p>
    <w:p>
      <w:pPr>
        <w:pStyle w:val="Heading1"/>
      </w:pPr>
      <w:r>
        <w:t>Key Sources Used in the Current Audit</w:t>
      </w:r>
    </w:p>
    <w:p>
      <w:pPr>
        <w:pStyle w:val="ListBullet"/>
        <w:spacing w:after="60"/>
      </w:pPr>
      <w:r>
        <w:t>Large, P. (2019). A Meta-Analysis of Geospatial Estimates in the Case of Malaysian Airlines Flight MH370. Doctoral dissertation supplied in the project source documents.</w:t>
      </w:r>
    </w:p>
    <w:p>
      <w:pPr>
        <w:pStyle w:val="ListBullet"/>
        <w:spacing w:after="60"/>
      </w:pPr>
      <w:r>
        <w:t>Davey, S., Gordon, N., Holland, I., Rutten, M., &amp; Williams, J. Bayesian Methods in the Search for MH370. DST Group / SpringerBriefs. Source PDF supplied.</w:t>
      </w:r>
    </w:p>
    <w:p>
      <w:pPr>
        <w:pStyle w:val="ListBullet"/>
        <w:spacing w:after="60"/>
      </w:pPr>
      <w:r>
        <w:t>Holland, I. D. (2018). MH370 Burst Frequency Offset Analysis and Implications on Descent Rate at End-of-Flight. IEEE Aerospace and Electronic Systems Magazine, 33, 24–33. Preprint submitted 2017.</w:t>
      </w:r>
    </w:p>
    <w:p>
      <w:pPr>
        <w:pStyle w:val="ListBullet"/>
        <w:spacing w:after="60"/>
      </w:pPr>
      <w:r>
        <w:t>Miron, P., Beron-Vera, F. J., Olascoaga, M. J., &amp; Koltai, P. (2019). Markov-chain-inspired search for MH370. Chaos, 29, 041105.</w:t>
      </w:r>
    </w:p>
    <w:p>
      <w:pPr>
        <w:pStyle w:val="ListBullet"/>
        <w:spacing w:after="60"/>
      </w:pPr>
      <w:r>
        <w:t>Durgadoo, J. V., et al. (2019). Strategies for simulating the drift of marine debris. Journal of Operational Oceanography.</w:t>
      </w:r>
    </w:p>
    <w:p>
      <w:pPr>
        <w:pStyle w:val="ListBullet"/>
        <w:spacing w:after="60"/>
      </w:pPr>
      <w:r>
        <w:t>Nesterov, O. (2018). Consideration of various aspects in a drift study of MH370 debris. Ocean Science, 14, 387–402.</w:t>
      </w:r>
    </w:p>
    <w:p>
      <w:pPr>
        <w:pStyle w:val="ListBullet"/>
        <w:spacing w:after="60"/>
      </w:pPr>
      <w:r>
        <w:t>Gao, J., Mu, L., Bao, X., Song, J., &amp; Ding, Y. (2018). Drift analysis of MH370 debris in the southern Indian Ocean. Frontiers of Earth Science, 12, 468–480.</w:t>
      </w:r>
    </w:p>
    <w:p>
      <w:pPr>
        <w:pStyle w:val="ListBullet"/>
        <w:spacing w:after="60"/>
      </w:pPr>
      <w:r>
        <w:t>Al-Qattan, N. M., et al. (2023). A Stable Isotope Sclerochronology-Based Forensic Method for Reconstructing Debris Drift Paths With Application to the MH370 Crash. AGU Advances.</w:t>
      </w:r>
    </w:p>
    <w:p>
      <w:pPr>
        <w:pStyle w:val="ListBullet"/>
        <w:spacing w:after="60"/>
      </w:pPr>
      <w:r>
        <w:t>Kadri, U. (2024). Underwater acoustic analysis reveals unique pressure signals associated with aircraft crashes in the sea: revisiting MH370. Scientific Reports, 14, 10102.</w:t>
      </w:r>
    </w:p>
    <w:p>
      <w:pPr>
        <w:pStyle w:val="ListBullet"/>
        <w:spacing w:after="60"/>
      </w:pPr>
      <w:r>
        <w:t>Lyne, V. (2024). Final two MH370 communications suggest controlled eastward descent. The Journal of Navigation, 77(2), 201–218.</w:t>
      </w:r>
    </w:p>
    <w:p>
      <w:pPr>
        <w:pStyle w:val="ListBullet"/>
        <w:spacing w:after="60"/>
      </w:pPr>
      <w:r>
        <w:t>Australian Transport Safety Bureau. MH370 search overview; Operational Search for MH370; 7th arc BFO analysis and related reports.</w:t>
      </w:r>
    </w:p>
    <w:p>
      <w:pPr>
        <w:pStyle w:val="ListBullet"/>
        <w:spacing w:after="60"/>
      </w:pPr>
      <w:r>
        <w:t>Ocean Infinity. (8 March 2026). Conclusion of the search for Malaysian Airlines flight MH370; supplemented by Malaysian government/ministerial reporting on the June 2026 contract extension.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MH370 research conversation and audit — generated 9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