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Statistical Geometry: Correlation, PCA, Regression, Regularization and Bayesian Inference</w:t>
      </w:r>
    </w:p>
    <w:p>
      <w:pPr>
        <w:jc w:val="center"/>
      </w:pPr>
      <w:r>
        <w:rPr>
          <w:i/>
          <w:sz w:val="26"/>
        </w:rPr>
        <w:t>Mathematical theory supporting the 11 interactive explorers</w:t>
      </w:r>
    </w:p>
    <w:p>
      <w:r>
        <w:t>This document develops the common linear-algebraic and probabilistic structure behind the interactive explorers. The central theme is that correlation, covariance, portfolio risk, least squares, regularization, principal component methods, and Gaussian Bayesian regression can all be understood through inner products, projections, eigendecompositions, quadratic forms, conditioning, and probability distributions on vector spaces.</w:t>
      </w:r>
    </w:p>
    <w:p>
      <w:pPr>
        <w:pStyle w:val="Heading1"/>
      </w:pPr>
      <w:r>
        <w:t>Executive map</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t>Explorers</w:t>
            </w:r>
          </w:p>
        </w:tc>
        <w:tc>
          <w:tcPr>
            <w:tcW w:type="dxa" w:w="3312"/>
          </w:tcPr>
          <w:p>
            <w:r>
              <w:t>Core object</w:t>
            </w:r>
          </w:p>
        </w:tc>
        <w:tc>
          <w:tcPr>
            <w:tcW w:type="dxa" w:w="3312"/>
          </w:tcPr>
          <w:p>
            <w:r>
              <w:t>Main mathematical operation</w:t>
            </w:r>
          </w:p>
        </w:tc>
      </w:tr>
      <w:tr>
        <w:tc>
          <w:tcPr>
            <w:tcW w:type="dxa" w:w="3312"/>
            <w:vAlign w:val="center"/>
          </w:tcPr>
          <w:p>
            <w:r>
              <w:t>1–2–4</w:t>
            </w:r>
          </w:p>
        </w:tc>
        <w:tc>
          <w:tcPr>
            <w:tcW w:type="dxa" w:w="3312"/>
            <w:vAlign w:val="center"/>
          </w:tcPr>
          <w:p>
            <w:r>
              <w:t>Correlation/covariance geometry</w:t>
            </w:r>
          </w:p>
        </w:tc>
        <w:tc>
          <w:tcPr>
            <w:tcW w:type="dxa" w:w="3312"/>
            <w:vAlign w:val="center"/>
          </w:tcPr>
          <w:p>
            <w:r>
              <w:t>Inner products, Gram matrices, eigendecomposition</w:t>
            </w:r>
          </w:p>
        </w:tc>
      </w:tr>
      <w:tr>
        <w:tc>
          <w:tcPr>
            <w:tcW w:type="dxa" w:w="3312"/>
            <w:vAlign w:val="center"/>
          </w:tcPr>
          <w:p>
            <w:r>
              <w:t>3</w:t>
            </w:r>
          </w:p>
        </w:tc>
        <w:tc>
          <w:tcPr>
            <w:tcW w:type="dxa" w:w="3312"/>
            <w:vAlign w:val="center"/>
          </w:tcPr>
          <w:p>
            <w:r>
              <w:t>Portfolio risk</w:t>
            </w:r>
          </w:p>
        </w:tc>
        <w:tc>
          <w:tcPr>
            <w:tcW w:type="dxa" w:w="3312"/>
            <w:vAlign w:val="center"/>
          </w:tcPr>
          <w:p>
            <w:r>
              <w:t>Quadratic form wᵀΣw</w:t>
            </w:r>
          </w:p>
        </w:tc>
      </w:tr>
      <w:tr>
        <w:tc>
          <w:tcPr>
            <w:tcW w:type="dxa" w:w="3312"/>
            <w:vAlign w:val="center"/>
          </w:tcPr>
          <w:p>
            <w:r>
              <w:t>5–6</w:t>
            </w:r>
          </w:p>
        </w:tc>
        <w:tc>
          <w:tcPr>
            <w:tcW w:type="dxa" w:w="3312"/>
            <w:vAlign w:val="center"/>
          </w:tcPr>
          <w:p>
            <w:r>
              <w:t>Ordinary least squares</w:t>
            </w:r>
          </w:p>
        </w:tc>
        <w:tc>
          <w:tcPr>
            <w:tcW w:type="dxa" w:w="3312"/>
            <w:vAlign w:val="center"/>
          </w:tcPr>
          <w:p>
            <w:r>
              <w:t>Orthogonal projection</w:t>
            </w:r>
          </w:p>
        </w:tc>
      </w:tr>
      <w:tr>
        <w:tc>
          <w:tcPr>
            <w:tcW w:type="dxa" w:w="3312"/>
            <w:vAlign w:val="center"/>
          </w:tcPr>
          <w:p>
            <w:r>
              <w:t>7</w:t>
            </w:r>
          </w:p>
        </w:tc>
        <w:tc>
          <w:tcPr>
            <w:tcW w:type="dxa" w:w="3312"/>
            <w:vAlign w:val="center"/>
          </w:tcPr>
          <w:p>
            <w:r>
              <w:t>Ridge and lasso</w:t>
            </w:r>
          </w:p>
        </w:tc>
        <w:tc>
          <w:tcPr>
            <w:tcW w:type="dxa" w:w="3312"/>
            <w:vAlign w:val="center"/>
          </w:tcPr>
          <w:p>
            <w:r>
              <w:t>Penalized convex optimization</w:t>
            </w:r>
          </w:p>
        </w:tc>
      </w:tr>
      <w:tr>
        <w:tc>
          <w:tcPr>
            <w:tcW w:type="dxa" w:w="3312"/>
            <w:vAlign w:val="center"/>
          </w:tcPr>
          <w:p>
            <w:r>
              <w:t>8</w:t>
            </w:r>
          </w:p>
        </w:tc>
        <w:tc>
          <w:tcPr>
            <w:tcW w:type="dxa" w:w="3312"/>
            <w:vAlign w:val="center"/>
          </w:tcPr>
          <w:p>
            <w:r>
              <w:t>Multicollinearity</w:t>
            </w:r>
          </w:p>
        </w:tc>
        <w:tc>
          <w:tcPr>
            <w:tcW w:type="dxa" w:w="3312"/>
            <w:vAlign w:val="center"/>
          </w:tcPr>
          <w:p>
            <w:r>
              <w:t>Conditioning of XᵀX</w:t>
            </w:r>
          </w:p>
        </w:tc>
      </w:tr>
      <w:tr>
        <w:tc>
          <w:tcPr>
            <w:tcW w:type="dxa" w:w="3312"/>
            <w:vAlign w:val="center"/>
          </w:tcPr>
          <w:p>
            <w:r>
              <w:t>9</w:t>
            </w:r>
          </w:p>
        </w:tc>
        <w:tc>
          <w:tcPr>
            <w:tcW w:type="dxa" w:w="3312"/>
            <w:vAlign w:val="center"/>
          </w:tcPr>
          <w:p>
            <w:r>
              <w:t>Bias–variance</w:t>
            </w:r>
          </w:p>
        </w:tc>
        <w:tc>
          <w:tcPr>
            <w:tcW w:type="dxa" w:w="3312"/>
            <w:vAlign w:val="center"/>
          </w:tcPr>
          <w:p>
            <w:r>
              <w:t>Expectation over random training sets</w:t>
            </w:r>
          </w:p>
        </w:tc>
      </w:tr>
      <w:tr>
        <w:tc>
          <w:tcPr>
            <w:tcW w:type="dxa" w:w="3312"/>
            <w:vAlign w:val="center"/>
          </w:tcPr>
          <w:p>
            <w:r>
              <w:t>10</w:t>
            </w:r>
          </w:p>
        </w:tc>
        <w:tc>
          <w:tcPr>
            <w:tcW w:type="dxa" w:w="3312"/>
            <w:vAlign w:val="center"/>
          </w:tcPr>
          <w:p>
            <w:r>
              <w:t>Principal component regression</w:t>
            </w:r>
          </w:p>
        </w:tc>
        <w:tc>
          <w:tcPr>
            <w:tcW w:type="dxa" w:w="3312"/>
            <w:vAlign w:val="center"/>
          </w:tcPr>
          <w:p>
            <w:r>
              <w:t>Spectral truncation + regression</w:t>
            </w:r>
          </w:p>
        </w:tc>
      </w:tr>
      <w:tr>
        <w:tc>
          <w:tcPr>
            <w:tcW w:type="dxa" w:w="3312"/>
            <w:vAlign w:val="center"/>
          </w:tcPr>
          <w:p>
            <w:r>
              <w:t>11</w:t>
            </w:r>
          </w:p>
        </w:tc>
        <w:tc>
          <w:tcPr>
            <w:tcW w:type="dxa" w:w="3312"/>
            <w:vAlign w:val="center"/>
          </w:tcPr>
          <w:p>
            <w:r>
              <w:t>Bayesian regression</w:t>
            </w:r>
          </w:p>
        </w:tc>
        <w:tc>
          <w:tcPr>
            <w:tcW w:type="dxa" w:w="3312"/>
            <w:vAlign w:val="center"/>
          </w:tcPr>
          <w:p>
            <w:r>
              <w:t>Gaussian conjugate updating</w:t>
            </w:r>
          </w:p>
        </w:tc>
      </w:tr>
    </w:tbl>
    <w:p>
      <w:pPr>
        <w:pStyle w:val="Heading1"/>
      </w:pPr>
      <w:r>
        <w:t>1. Correlation as inner-product geometry</w:t>
      </w:r>
    </w:p>
    <w:p>
      <w:r>
        <w:t>Let X and Y be random variables with finite, nonzero variances. Center them as Xc=X−E[X] and Yc=Y−E[Y]. Within L², covariance is the inner product of the centered variables and standard deviation is the induced norm.</w:t>
      </w:r>
    </w:p>
    <w:p>
      <w:pPr>
        <w:jc w:val="center"/>
      </w:pPr>
      <w:r>
        <w:rPr>
          <w:rFonts w:ascii="Cambria Math" w:hAnsi="Cambria Math"/>
          <w:sz w:val="23"/>
        </w:rPr>
        <w:t>⟨Xc, Yc⟩ = E[XcYc] = Cov(X,Y)</w:t>
      </w:r>
    </w:p>
    <w:p>
      <w:pPr>
        <w:jc w:val="center"/>
      </w:pPr>
      <w:r>
        <w:rPr>
          <w:rFonts w:ascii="Cambria Math" w:hAnsi="Cambria Math"/>
          <w:sz w:val="23"/>
        </w:rPr>
        <w:t>‖Xc‖ = √Var(X) = σX</w:t>
      </w:r>
    </w:p>
    <w:p>
      <w:pPr>
        <w:jc w:val="center"/>
      </w:pPr>
      <w:r>
        <w:rPr>
          <w:rFonts w:ascii="Cambria Math" w:hAnsi="Cambria Math"/>
          <w:sz w:val="23"/>
        </w:rPr>
        <w:t>ρ(X,Y) = ⟨Xc,Yc⟩ / (‖Xc‖‖Yc‖) = cos θ</w:t>
      </w:r>
    </w:p>
    <w:p>
      <w:r>
        <w:t>The correlation bound |ρ|≤1 is therefore the Cauchy–Schwarz inequality in statistical language. Zero correlation means orthogonality after centering, but orthogonality captures only second-order linear structure; it does not imply independence.</w:t>
      </w:r>
    </w:p>
    <w:p>
      <w:pPr>
        <w:pStyle w:val="Heading2"/>
      </w:pPr>
      <w:r>
        <w:t>Correlation matrices as Gram matrices</w:t>
      </w:r>
    </w:p>
    <w:p>
      <w:r>
        <w:t>For standardized variables Z1,…,Zp, the correlation matrix records pairwise inner products. Hence it is a Gram matrix and must be positive semidefinite.</w:t>
      </w:r>
    </w:p>
    <w:p>
      <w:pPr>
        <w:jc w:val="center"/>
      </w:pPr>
      <w:r>
        <w:rPr>
          <w:rFonts w:ascii="Cambria Math" w:hAnsi="Cambria Math"/>
          <w:sz w:val="23"/>
        </w:rPr>
        <w:t>Rij = ⟨Zi,Zj⟩</w:t>
      </w:r>
    </w:p>
    <w:p>
      <w:pPr>
        <w:jc w:val="center"/>
      </w:pPr>
      <w:r>
        <w:rPr>
          <w:rFonts w:ascii="Cambria Math" w:hAnsi="Cambria Math"/>
          <w:sz w:val="23"/>
        </w:rPr>
        <w:t>vᵀRv ≥ 0  for every v</w:t>
      </w:r>
    </w:p>
    <w:p>
      <w:r>
        <w:t>For three standardized variables, positive semidefiniteness requires the determinant condition below in addition to the trivial bounds |ρij|≤1.</w:t>
      </w:r>
    </w:p>
    <w:p>
      <w:pPr>
        <w:jc w:val="center"/>
      </w:pPr>
      <w:r>
        <w:rPr>
          <w:rFonts w:ascii="Cambria Math" w:hAnsi="Cambria Math"/>
          <w:sz w:val="23"/>
        </w:rPr>
        <w:t>det(R) = 1 + 2ρ12ρ13ρ23 − ρ12² − ρ13² − ρ23² ≥ 0</w:t>
      </w:r>
    </w:p>
    <w:p>
      <w:r>
        <w:t>Explorer 1 turns this feasibility condition into a 3D vector construction.</w:t>
      </w:r>
    </w:p>
    <w:p>
      <w:pPr>
        <w:pStyle w:val="Heading1"/>
      </w:pPr>
      <w:r>
        <w:t>2. Covariance ellipsoids and principal components</w:t>
      </w:r>
    </w:p>
    <w:p>
      <w:r>
        <w:t>For a random vector X with mean μ, the covariance matrix Σ=E[(X−μ)(X−μ)ᵀ] is symmetric positive semidefinite. When it is positive definite, constant Mahalanobis-distance sets are ellipsoids.</w:t>
      </w:r>
    </w:p>
    <w:p>
      <w:pPr>
        <w:jc w:val="center"/>
      </w:pPr>
      <w:r>
        <w:rPr>
          <w:rFonts w:ascii="Cambria Math" w:hAnsi="Cambria Math"/>
          <w:sz w:val="23"/>
        </w:rPr>
        <w:t>(x−μ)ᵀΣ⁻¹(x−μ) = c</w:t>
      </w:r>
    </w:p>
    <w:p>
      <w:r>
        <w:t>By the spectral theorem, Σ has an orthonormal eigendecomposition.</w:t>
      </w:r>
    </w:p>
    <w:p>
      <w:pPr>
        <w:jc w:val="center"/>
      </w:pPr>
      <w:r>
        <w:rPr>
          <w:rFonts w:ascii="Cambria Math" w:hAnsi="Cambria Math"/>
          <w:sz w:val="23"/>
        </w:rPr>
        <w:t>Σ = VΛVᵀ</w:t>
      </w:r>
    </w:p>
    <w:p>
      <w:pPr>
        <w:jc w:val="center"/>
      </w:pPr>
      <w:r>
        <w:rPr>
          <w:rFonts w:ascii="Cambria Math" w:hAnsi="Cambria Math"/>
          <w:sz w:val="23"/>
        </w:rPr>
        <w:t>Σvi = λivi</w:t>
      </w:r>
    </w:p>
    <w:p>
      <w:r>
        <w:t>In principal coordinates, the ellipsoid equation separates into independent squared terms. Its semiaxis lengths are proportional to √λi, so the eigenvectors determine orientation and the eigenvalues determine squared scale.</w:t>
      </w:r>
    </w:p>
    <w:p>
      <w:pPr>
        <w:ind w:left="317" w:hanging="173"/>
      </w:pPr>
      <w:r>
        <w:rPr>
          <w:b/>
        </w:rPr>
        <w:t xml:space="preserve">• </w:t>
      </w:r>
      <w:r>
        <w:t>PC1 is the unit direction maximizing variance.</w:t>
      </w:r>
    </w:p>
    <w:p>
      <w:pPr>
        <w:ind w:left="317" w:hanging="173"/>
      </w:pPr>
      <w:r>
        <w:rPr>
          <w:b/>
        </w:rPr>
        <w:t xml:space="preserve">• </w:t>
      </w:r>
      <w:r>
        <w:t>PC2 maximizes remaining variance subject to orthogonality to PC1.</w:t>
      </w:r>
    </w:p>
    <w:p>
      <w:pPr>
        <w:ind w:left="317" w:hanging="173"/>
      </w:pPr>
      <w:r>
        <w:rPr>
          <w:b/>
        </w:rPr>
        <w:t xml:space="preserve">• </w:t>
      </w:r>
      <w:r>
        <w:t>Explained variance ratio of PC i is λi / Σj λj.</w:t>
      </w:r>
    </w:p>
    <w:p>
      <w:r>
        <w:t>Explorers 2 and 4 connect this matrix decomposition to the visible shape of a multivariate point cloud.</w:t>
      </w:r>
    </w:p>
    <w:p>
      <w:pPr>
        <w:pStyle w:val="Heading1"/>
      </w:pPr>
      <w:r>
        <w:t>3. Portfolio variance as a quadratic form</w:t>
      </w:r>
    </w:p>
    <w:p>
      <w:r>
        <w:t>Let asset returns be collected in R and let w be a portfolio weight vector. The portfolio return is RP=wᵀR. Its variance is determined entirely by the covariance matrix.</w:t>
      </w:r>
    </w:p>
    <w:p>
      <w:pPr>
        <w:jc w:val="center"/>
      </w:pPr>
      <w:r>
        <w:rPr>
          <w:rFonts w:ascii="Cambria Math" w:hAnsi="Cambria Math"/>
          <w:sz w:val="23"/>
        </w:rPr>
        <w:t>Var(RP) = wᵀΣw</w:t>
      </w:r>
    </w:p>
    <w:p>
      <w:pPr>
        <w:jc w:val="center"/>
      </w:pPr>
      <w:r>
        <w:rPr>
          <w:rFonts w:ascii="Cambria Math" w:hAnsi="Cambria Math"/>
          <w:sz w:val="23"/>
        </w:rPr>
        <w:t>Var(RP) = Σi wi²σi² + 2Σi&lt;j wiwjσiσjρij</w:t>
      </w:r>
    </w:p>
    <w:p>
      <w:r>
        <w:t>For three long-only assets, w1+w2+w3=1 and wi≥0. The feasible set is a triangle (a 2-simplex). Plotting wᵀΣw as height over the simplex produces a risk surface. Low or negative correlation can create a diversification valley.</w:t>
      </w:r>
    </w:p>
    <w:p>
      <w:r>
        <w:t>The minimum-variance problem is a convex quadratic optimization problem when Σ is positive semidefinite. Explorer 3 uses a grid approximation for visualization; production optimization should use a quadratic-programming solver.</w:t>
      </w:r>
    </w:p>
    <w:p>
      <w:pPr>
        <w:pStyle w:val="Heading1"/>
      </w:pPr>
      <w:r>
        <w:t>4. Simple least squares as orthogonal projection</w:t>
      </w:r>
    </w:p>
    <w:p>
      <w:r>
        <w:t>For simple regression yi=α+βxi+εi, centering removes the intercept and leaves a one-dimensional projection problem.</w:t>
      </w:r>
    </w:p>
    <w:p>
      <w:pPr>
        <w:jc w:val="center"/>
      </w:pPr>
      <w:r>
        <w:rPr>
          <w:rFonts w:ascii="Cambria Math" w:hAnsi="Cambria Math"/>
          <w:sz w:val="23"/>
        </w:rPr>
        <w:t>minβ ‖yc − βxc‖²</w:t>
      </w:r>
    </w:p>
    <w:p>
      <w:pPr>
        <w:jc w:val="center"/>
      </w:pPr>
      <w:r>
        <w:rPr>
          <w:rFonts w:ascii="Cambria Math" w:hAnsi="Cambria Math"/>
          <w:sz w:val="23"/>
        </w:rPr>
        <w:t>β̂ = ⟨xc,yc⟩ / ⟨xc,xc⟩</w:t>
      </w:r>
    </w:p>
    <w:p>
      <w:pPr>
        <w:jc w:val="center"/>
      </w:pPr>
      <w:r>
        <w:rPr>
          <w:rFonts w:ascii="Cambria Math" w:hAnsi="Cambria Math"/>
          <w:sz w:val="23"/>
        </w:rPr>
        <w:t>ŷc = projspan(xc)(yc)</w:t>
      </w:r>
    </w:p>
    <w:p>
      <w:r>
        <w:t>The residual e=yc−ŷc is orthogonal to the fitted subspace.</w:t>
      </w:r>
    </w:p>
    <w:p>
      <w:pPr>
        <w:jc w:val="center"/>
      </w:pPr>
      <w:r>
        <w:rPr>
          <w:rFonts w:ascii="Cambria Math" w:hAnsi="Cambria Math"/>
          <w:sz w:val="23"/>
        </w:rPr>
        <w:t>⟨xc,e⟩ = 0</w:t>
      </w:r>
    </w:p>
    <w:p>
      <w:r>
        <w:t>Because ŷc and e are orthogonal, the Pythagorean theorem yields the classical sum-of-squares decomposition.</w:t>
      </w:r>
    </w:p>
    <w:p>
      <w:pPr>
        <w:jc w:val="center"/>
      </w:pPr>
      <w:r>
        <w:rPr>
          <w:rFonts w:ascii="Cambria Math" w:hAnsi="Cambria Math"/>
          <w:sz w:val="23"/>
        </w:rPr>
        <w:t>‖yc‖² = ‖ŷc‖² + ‖e‖²</w:t>
      </w:r>
    </w:p>
    <w:p>
      <w:pPr>
        <w:jc w:val="center"/>
      </w:pPr>
      <w:r>
        <w:rPr>
          <w:rFonts w:ascii="Cambria Math" w:hAnsi="Cambria Math"/>
          <w:sz w:val="23"/>
        </w:rPr>
        <w:t>SST = SSR + SSE</w:t>
      </w:r>
    </w:p>
    <w:p>
      <w:pPr>
        <w:jc w:val="center"/>
      </w:pPr>
      <w:r>
        <w:rPr>
          <w:rFonts w:ascii="Cambria Math" w:hAnsi="Cambria Math"/>
          <w:sz w:val="23"/>
        </w:rPr>
        <w:t>R² = SSR/SST = ‖ŷc‖²/‖yc‖²</w:t>
      </w:r>
    </w:p>
    <w:p>
      <w:r>
        <w:t>In simple regression with intercept, the angle θ between xc and yc satisfies R²=cos²θ=r². Explorer 5 makes the algebra, scatter plot, projection triangle, and sum-of-squares identity visible simultaneously.</w:t>
      </w:r>
    </w:p>
    <w:p>
      <w:pPr>
        <w:pStyle w:val="Heading1"/>
      </w:pPr>
      <w:r>
        <w:t>5. Multiple regression as projection onto a subspace</w:t>
      </w:r>
    </w:p>
    <w:p>
      <w:r>
        <w:t>Let Xc be the centered design matrix with p predictor columns. Least squares projects yc onto the column space C(Xc).</w:t>
      </w:r>
    </w:p>
    <w:p>
      <w:pPr>
        <w:jc w:val="center"/>
      </w:pPr>
      <w:r>
        <w:rPr>
          <w:rFonts w:ascii="Cambria Math" w:hAnsi="Cambria Math"/>
          <w:sz w:val="23"/>
        </w:rPr>
        <w:t>minβ ‖yc − Xcβ‖²</w:t>
      </w:r>
    </w:p>
    <w:p>
      <w:pPr>
        <w:jc w:val="center"/>
      </w:pPr>
      <w:r>
        <w:rPr>
          <w:rFonts w:ascii="Cambria Math" w:hAnsi="Cambria Math"/>
          <w:sz w:val="23"/>
        </w:rPr>
        <w:t>XcᵀXc β̂ = Xcᵀyc</w:t>
      </w:r>
    </w:p>
    <w:p>
      <w:pPr>
        <w:jc w:val="center"/>
      </w:pPr>
      <w:r>
        <w:rPr>
          <w:rFonts w:ascii="Cambria Math" w:hAnsi="Cambria Math"/>
          <w:sz w:val="23"/>
        </w:rPr>
        <w:t>β̂ = (XcᵀXc)⁻¹Xcᵀyc</w:t>
      </w:r>
    </w:p>
    <w:p>
      <w:pPr>
        <w:jc w:val="center"/>
      </w:pPr>
      <w:r>
        <w:rPr>
          <w:rFonts w:ascii="Cambria Math" w:hAnsi="Cambria Math"/>
          <w:sz w:val="23"/>
        </w:rPr>
        <w:t>P_X = Xc(XcᵀXc)⁻¹Xcᵀ</w:t>
      </w:r>
    </w:p>
    <w:p>
      <w:pPr>
        <w:jc w:val="center"/>
      </w:pPr>
      <w:r>
        <w:rPr>
          <w:rFonts w:ascii="Cambria Math" w:hAnsi="Cambria Math"/>
          <w:sz w:val="23"/>
        </w:rPr>
        <w:t>ŷc = P_X yc</w:t>
      </w:r>
    </w:p>
    <w:p>
      <w:r>
        <w:t>The projection matrix is symmetric and idempotent: P_Xᵀ=P_X and P_X²=P_X. Residuals lie in the orthogonal complement of the predictor subspace.</w:t>
      </w:r>
    </w:p>
    <w:p>
      <w:pPr>
        <w:jc w:val="center"/>
      </w:pPr>
      <w:r>
        <w:rPr>
          <w:rFonts w:ascii="Cambria Math" w:hAnsi="Cambria Math"/>
          <w:sz w:val="23"/>
        </w:rPr>
        <w:t>Xcᵀe = 0</w:t>
      </w:r>
    </w:p>
    <w:p>
      <w:r>
        <w:t>Explorer 6 uses two predictors so that the column space can be rendered as a plane. The geometry generalizes unchanged to higher-dimensional subspaces.</w:t>
      </w:r>
    </w:p>
    <w:p>
      <w:pPr>
        <w:pStyle w:val="Heading1"/>
      </w:pPr>
      <w:r>
        <w:t>6. Ridge and lasso regularization</w:t>
      </w:r>
    </w:p>
    <w:p>
      <w:r>
        <w:t>When XᵀX is ill-conditioned or model complexity is high, OLS may have excessive variance. Regularization modifies the optimization problem by penalizing coefficient magnitude.</w:t>
      </w:r>
    </w:p>
    <w:p>
      <w:pPr>
        <w:pStyle w:val="Heading2"/>
      </w:pPr>
      <w:r>
        <w:t>Ridge regression</w:t>
      </w:r>
    </w:p>
    <w:p>
      <w:pPr>
        <w:jc w:val="center"/>
      </w:pPr>
      <w:r>
        <w:rPr>
          <w:rFonts w:ascii="Cambria Math" w:hAnsi="Cambria Math"/>
          <w:sz w:val="23"/>
        </w:rPr>
        <w:t>β̂ridge = argminβ { ‖y−Xβ‖² + λ‖β‖₂² }</w:t>
      </w:r>
    </w:p>
    <w:p>
      <w:pPr>
        <w:jc w:val="center"/>
      </w:pPr>
      <w:r>
        <w:rPr>
          <w:rFonts w:ascii="Cambria Math" w:hAnsi="Cambria Math"/>
          <w:sz w:val="23"/>
        </w:rPr>
        <w:t>β̂ridge = (XᵀX + λI)⁻¹Xᵀy</w:t>
      </w:r>
    </w:p>
    <w:p>
      <w:r>
        <w:t>Adding λI lifts the eigenvalues of XᵀX away from zero. In coefficient space, the constrained version uses an L² ball, which has a smooth circular/elliptical boundary.</w:t>
      </w:r>
    </w:p>
    <w:p>
      <w:pPr>
        <w:pStyle w:val="Heading2"/>
      </w:pPr>
      <w:r>
        <w:t>Lasso</w:t>
      </w:r>
    </w:p>
    <w:p>
      <w:pPr>
        <w:jc w:val="center"/>
      </w:pPr>
      <w:r>
        <w:rPr>
          <w:rFonts w:ascii="Cambria Math" w:hAnsi="Cambria Math"/>
          <w:sz w:val="23"/>
        </w:rPr>
        <w:t>β̂lasso = argminβ { ‖y−Xβ‖² + λ‖β‖₁ }</w:t>
      </w:r>
    </w:p>
    <w:p>
      <w:r>
        <w:t>The equivalent L¹ constraint has a diamond-shaped boundary in two dimensions. Its corners lie on coordinate axes, which is the geometric reason lasso frequently yields exact zero coefficients. Explorer 7 contrasts the two penalties.</w:t>
      </w:r>
    </w:p>
    <w:p>
      <w:pPr>
        <w:pStyle w:val="Heading1"/>
      </w:pPr>
      <w:r>
        <w:t>7. Multicollinearity, VIF and conditioning</w:t>
      </w:r>
    </w:p>
    <w:p>
      <w:r>
        <w:t>Multicollinearity is near-linear dependence among predictor columns. It is fundamentally a conditioning problem.</w:t>
      </w:r>
    </w:p>
    <w:p>
      <w:pPr>
        <w:jc w:val="center"/>
      </w:pPr>
      <w:r>
        <w:rPr>
          <w:rFonts w:ascii="Cambria Math" w:hAnsi="Cambria Math"/>
          <w:sz w:val="23"/>
        </w:rPr>
        <w:t>Var(β̂ | X) = σ²(XᵀX)⁻¹</w:t>
      </w:r>
    </w:p>
    <w:p>
      <w:r>
        <w:t>If XᵀX has a very small eigenvalue, the inverse has a very large eigenvalue, amplifying sampling noise in certain coefficient directions.</w:t>
      </w:r>
    </w:p>
    <w:p>
      <w:pPr>
        <w:jc w:val="center"/>
      </w:pPr>
      <w:r>
        <w:rPr>
          <w:rFonts w:ascii="Cambria Math" w:hAnsi="Cambria Math"/>
          <w:sz w:val="23"/>
        </w:rPr>
        <w:t>κ(X) = √(λmax(XᵀX)/λmin(XᵀX))</w:t>
      </w:r>
    </w:p>
    <w:p>
      <w:r>
        <w:t>For two standardized predictors with correlation ρ:</w:t>
      </w:r>
    </w:p>
    <w:p>
      <w:pPr>
        <w:jc w:val="center"/>
      </w:pPr>
      <w:r>
        <w:rPr>
          <w:rFonts w:ascii="Cambria Math" w:hAnsi="Cambria Math"/>
          <w:sz w:val="23"/>
        </w:rPr>
        <w:t>VIF = 1/(1−ρ²)</w:t>
      </w:r>
    </w:p>
    <w:p>
      <w:pPr>
        <w:jc w:val="center"/>
      </w:pPr>
      <w:r>
        <w:rPr>
          <w:rFonts w:ascii="Cambria Math" w:hAnsi="Cambria Math"/>
          <w:sz w:val="23"/>
        </w:rPr>
        <w:t>κ = √((1+|ρ|)/(1−|ρ|))</w:t>
      </w:r>
    </w:p>
    <w:p>
      <w:r>
        <w:t>As |ρ| approaches 1, the correlation matrix determinant approaches zero, VIF diverges, and the coefficient sampling cloud becomes highly elongated. Explorer 8 shows this instability directly.</w:t>
      </w:r>
    </w:p>
    <w:p>
      <w:pPr>
        <w:pStyle w:val="Heading1"/>
      </w:pPr>
      <w:r>
        <w:t>8. Bias–variance decomposition</w:t>
      </w:r>
    </w:p>
    <w:p>
      <w:r>
        <w:t>Let Y=f(X)+ε with E[ε]=0 and Var(ε)=σ². Because the fitted function depends on a random training sample, prediction error has both systematic and sampling components.</w:t>
      </w:r>
    </w:p>
    <w:p>
      <w:pPr>
        <w:jc w:val="center"/>
      </w:pPr>
      <w:r>
        <w:rPr>
          <w:rFonts w:ascii="Cambria Math" w:hAnsi="Cambria Math"/>
          <w:sz w:val="23"/>
        </w:rPr>
        <w:t>E[(Y−f̂(x))²] = Bias[f̂(x)]² + Var[f̂(x)] + σ²</w:t>
      </w:r>
    </w:p>
    <w:p>
      <w:pPr>
        <w:jc w:val="center"/>
      </w:pPr>
      <w:r>
        <w:rPr>
          <w:rFonts w:ascii="Cambria Math" w:hAnsi="Cambria Math"/>
          <w:sz w:val="23"/>
        </w:rPr>
        <w:t>Bias[f̂(x)] = E[f̂(x)] − f(x)</w:t>
      </w:r>
    </w:p>
    <w:p>
      <w:r>
        <w:t>Low-complexity models may be stable but systematically wrong (high bias). Highly flexible models may match each sample closely but vary greatly from sample to sample (high variance). Polynomial degree provides a transparent nested complexity parameter in Explorer 9.</w:t>
      </w:r>
    </w:p>
    <w:p>
      <w:pPr>
        <w:pStyle w:val="Heading1"/>
      </w:pPr>
      <w:r>
        <w:t>9. Principal component regression</w:t>
      </w:r>
    </w:p>
    <w:p>
      <w:r>
        <w:t>Principal component regression first rotates the predictor space into orthogonal variance directions, then performs regression on only the retained scores.</w:t>
      </w:r>
    </w:p>
    <w:p>
      <w:pPr>
        <w:jc w:val="center"/>
      </w:pPr>
      <w:r>
        <w:rPr>
          <w:rFonts w:ascii="Cambria Math" w:hAnsi="Cambria Math"/>
          <w:sz w:val="23"/>
        </w:rPr>
        <w:t>XᵀX = VΛVᵀ</w:t>
      </w:r>
    </w:p>
    <w:p>
      <w:pPr>
        <w:jc w:val="center"/>
      </w:pPr>
      <w:r>
        <w:rPr>
          <w:rFonts w:ascii="Cambria Math" w:hAnsi="Cambria Math"/>
          <w:sz w:val="23"/>
        </w:rPr>
        <w:t>Z = XV</w:t>
      </w:r>
    </w:p>
    <w:p>
      <w:pPr>
        <w:jc w:val="center"/>
      </w:pPr>
      <w:r>
        <w:rPr>
          <w:rFonts w:ascii="Cambria Math" w:hAnsi="Cambria Math"/>
          <w:sz w:val="23"/>
        </w:rPr>
        <w:t>γ̂k = (ZkᵀZk)⁻¹Zkᵀy</w:t>
      </w:r>
    </w:p>
    <w:p>
      <w:pPr>
        <w:jc w:val="center"/>
      </w:pPr>
      <w:r>
        <w:rPr>
          <w:rFonts w:ascii="Cambria Math" w:hAnsi="Cambria Math"/>
          <w:sz w:val="23"/>
        </w:rPr>
        <w:t>β̂PCR = Vk γ̂k</w:t>
      </w:r>
    </w:p>
    <w:p>
      <w:r>
        <w:t>Discarding low-variance directions can stabilize regression by removing poorly conditioned components. However, PCA is unsupervised: a low-variance predictor direction can still be highly predictive of y. Therefore explained predictor variance and predictive relevance are not the same criterion. Explorer 10 is designed to expose this distinction.</w:t>
      </w:r>
    </w:p>
    <w:p>
      <w:pPr>
        <w:pStyle w:val="Heading1"/>
      </w:pPr>
      <w:r>
        <w:t>10. Bayesian linear regression and posterior geometry</w:t>
      </w:r>
    </w:p>
    <w:p>
      <w:r>
        <w:t>Bayesian linear regression places a probability distribution on coefficients instead of producing only a point estimate.</w:t>
      </w:r>
    </w:p>
    <w:p>
      <w:pPr>
        <w:jc w:val="center"/>
      </w:pPr>
      <w:r>
        <w:rPr>
          <w:rFonts w:ascii="Cambria Math" w:hAnsi="Cambria Math"/>
          <w:sz w:val="23"/>
        </w:rPr>
        <w:t>y | β ~ N(Xβ, σ²I)</w:t>
      </w:r>
    </w:p>
    <w:p>
      <w:pPr>
        <w:jc w:val="center"/>
      </w:pPr>
      <w:r>
        <w:rPr>
          <w:rFonts w:ascii="Cambria Math" w:hAnsi="Cambria Math"/>
          <w:sz w:val="23"/>
        </w:rPr>
        <w:t>β ~ N(m₀,S₀)</w:t>
      </w:r>
    </w:p>
    <w:p>
      <w:r>
        <w:t>Gaussian conjugacy gives a Gaussian posterior.</w:t>
      </w:r>
    </w:p>
    <w:p>
      <w:pPr>
        <w:jc w:val="center"/>
      </w:pPr>
      <w:r>
        <w:rPr>
          <w:rFonts w:ascii="Cambria Math" w:hAnsi="Cambria Math"/>
          <w:sz w:val="23"/>
        </w:rPr>
        <w:t>Sn = (S₀⁻¹ + XᵀX/σ²)⁻¹</w:t>
      </w:r>
    </w:p>
    <w:p>
      <w:pPr>
        <w:jc w:val="center"/>
      </w:pPr>
      <w:r>
        <w:rPr>
          <w:rFonts w:ascii="Cambria Math" w:hAnsi="Cambria Math"/>
          <w:sz w:val="23"/>
        </w:rPr>
        <w:t>mn = Sn(S₀⁻¹m₀ + Xᵀy/σ²)</w:t>
      </w:r>
    </w:p>
    <w:p>
      <w:r>
        <w:t>For a zero-mean isotropic prior S₀=τ²I:</w:t>
      </w:r>
    </w:p>
    <w:p>
      <w:pPr>
        <w:jc w:val="center"/>
      </w:pPr>
      <w:r>
        <w:rPr>
          <w:rFonts w:ascii="Cambria Math" w:hAnsi="Cambria Math"/>
          <w:sz w:val="23"/>
        </w:rPr>
        <w:t>Sn = (XᵀX/σ² + I/τ²)⁻¹</w:t>
      </w:r>
    </w:p>
    <w:p>
      <w:r>
        <w:t>The posterior covariance defines an ellipse/ellipsoid in coefficient space. The posterior mean is a precision-weighted compromise between prior and likelihood, which connects Bayesian Gaussian shrinkage to ridge regression.</w:t>
      </w:r>
    </w:p>
    <w:p>
      <w:pPr>
        <w:pStyle w:val="Heading2"/>
      </w:pPr>
      <w:r>
        <w:t>Posterior prediction</w:t>
      </w:r>
    </w:p>
    <w:p>
      <w:pPr>
        <w:jc w:val="center"/>
      </w:pPr>
      <w:r>
        <w:rPr>
          <w:rFonts w:ascii="Cambria Math" w:hAnsi="Cambria Math"/>
          <w:sz w:val="23"/>
        </w:rPr>
        <w:t>y* | x*,D ~ N(x*ᵀmn, σ² + x*ᵀSnx*)</w:t>
      </w:r>
    </w:p>
    <w:p>
      <w:r>
        <w:t>Predictive uncertainty contains irreducible observation noise and parameter uncertainty. Explorer 11 displays both posterior coefficient geometry and predictive bands.</w:t>
      </w:r>
    </w:p>
    <w:p>
      <w:pPr>
        <w:pStyle w:val="Heading1"/>
      </w:pPr>
      <w:r>
        <w:t>11. Structural synthesis</w:t>
      </w:r>
    </w:p>
    <w:p>
      <w:r>
        <w:t>The eleven explorers can be compressed into a small set of reusable mathematical operations.</w:t>
      </w:r>
    </w:p>
    <w:tbl>
      <w:tblPr>
        <w:tblStyle w:val="TableGrid"/>
        <w:tblW w:type="auto" w:w="0"/>
        <w:jc w:val="center"/>
        <w:tblLook w:firstColumn="1" w:firstRow="1" w:lastColumn="0" w:lastRow="0" w:noHBand="0" w:noVBand="1" w:val="04A0"/>
      </w:tblPr>
      <w:tblGrid>
        <w:gridCol w:w="4968"/>
        <w:gridCol w:w="4968"/>
      </w:tblGrid>
      <w:tr>
        <w:tc>
          <w:tcPr>
            <w:tcW w:type="dxa" w:w="4968"/>
          </w:tcPr>
          <w:p>
            <w:r>
              <w:t>Operation</w:t>
            </w:r>
          </w:p>
        </w:tc>
        <w:tc>
          <w:tcPr>
            <w:tcW w:type="dxa" w:w="4968"/>
          </w:tcPr>
          <w:p>
            <w:r>
              <w:t>Statistical manifestations</w:t>
            </w:r>
          </w:p>
        </w:tc>
      </w:tr>
      <w:tr>
        <w:tc>
          <w:tcPr>
            <w:tcW w:type="dxa" w:w="4968"/>
          </w:tcPr>
          <w:p>
            <w:r>
              <w:t>Inner products</w:t>
            </w:r>
          </w:p>
        </w:tc>
        <w:tc>
          <w:tcPr>
            <w:tcW w:type="dxa" w:w="4968"/>
          </w:tcPr>
          <w:p>
            <w:r>
              <w:t>Covariance, correlation, angles, least-squares objectives</w:t>
            </w:r>
          </w:p>
        </w:tc>
      </w:tr>
      <w:tr>
        <w:tc>
          <w:tcPr>
            <w:tcW w:type="dxa" w:w="4968"/>
          </w:tcPr>
          <w:p>
            <w:r>
              <w:t>Gram matrices</w:t>
            </w:r>
          </w:p>
        </w:tc>
        <w:tc>
          <w:tcPr>
            <w:tcW w:type="dxa" w:w="4968"/>
          </w:tcPr>
          <w:p>
            <w:r>
              <w:t>Correlation matrices, XᵀX, positive-semidefinite feasibility</w:t>
            </w:r>
          </w:p>
        </w:tc>
      </w:tr>
      <w:tr>
        <w:tc>
          <w:tcPr>
            <w:tcW w:type="dxa" w:w="4968"/>
          </w:tcPr>
          <w:p>
            <w:r>
              <w:t>Orthogonal projection</w:t>
            </w:r>
          </w:p>
        </w:tc>
        <w:tc>
          <w:tcPr>
            <w:tcW w:type="dxa" w:w="4968"/>
          </w:tcPr>
          <w:p>
            <w:r>
              <w:t>OLS fitted values, residual orthogonality, R² geometry</w:t>
            </w:r>
          </w:p>
        </w:tc>
      </w:tr>
      <w:tr>
        <w:tc>
          <w:tcPr>
            <w:tcW w:type="dxa" w:w="4968"/>
          </w:tcPr>
          <w:p>
            <w:r>
              <w:t>Spectral decomposition</w:t>
            </w:r>
          </w:p>
        </w:tc>
        <w:tc>
          <w:tcPr>
            <w:tcW w:type="dxa" w:w="4968"/>
          </w:tcPr>
          <w:p>
            <w:r>
              <w:t>PCA, covariance ellipsoids, condition numbers, PCR</w:t>
            </w:r>
          </w:p>
        </w:tc>
      </w:tr>
      <w:tr>
        <w:tc>
          <w:tcPr>
            <w:tcW w:type="dxa" w:w="4968"/>
          </w:tcPr>
          <w:p>
            <w:r>
              <w:t>Quadratic forms</w:t>
            </w:r>
          </w:p>
        </w:tc>
        <w:tc>
          <w:tcPr>
            <w:tcW w:type="dxa" w:w="4968"/>
          </w:tcPr>
          <w:p>
            <w:r>
              <w:t>Mahalanobis distance, portfolio risk, Gaussian log-likelihood curvature</w:t>
            </w:r>
          </w:p>
        </w:tc>
      </w:tr>
      <w:tr>
        <w:tc>
          <w:tcPr>
            <w:tcW w:type="dxa" w:w="4968"/>
          </w:tcPr>
          <w:p>
            <w:r>
              <w:t>Convex penalties</w:t>
            </w:r>
          </w:p>
        </w:tc>
        <w:tc>
          <w:tcPr>
            <w:tcW w:type="dxa" w:w="4968"/>
          </w:tcPr>
          <w:p>
            <w:r>
              <w:t>Ridge and lasso regularization</w:t>
            </w:r>
          </w:p>
        </w:tc>
      </w:tr>
      <w:tr>
        <w:tc>
          <w:tcPr>
            <w:tcW w:type="dxa" w:w="4968"/>
          </w:tcPr>
          <w:p>
            <w:r>
              <w:t>Expectation over datasets</w:t>
            </w:r>
          </w:p>
        </w:tc>
        <w:tc>
          <w:tcPr>
            <w:tcW w:type="dxa" w:w="4968"/>
          </w:tcPr>
          <w:p>
            <w:r>
              <w:t>Bias–variance decomposition</w:t>
            </w:r>
          </w:p>
        </w:tc>
      </w:tr>
      <w:tr>
        <w:tc>
          <w:tcPr>
            <w:tcW w:type="dxa" w:w="4968"/>
          </w:tcPr>
          <w:p>
            <w:r>
              <w:t>Probability on parameter space</w:t>
            </w:r>
          </w:p>
        </w:tc>
        <w:tc>
          <w:tcPr>
            <w:tcW w:type="dxa" w:w="4968"/>
          </w:tcPr>
          <w:p>
            <w:r>
              <w:t>Bayesian posterior and posterior predictive uncertainty</w:t>
            </w:r>
          </w:p>
        </w:tc>
      </w:tr>
    </w:tbl>
    <w:p>
      <w:pPr>
        <w:pStyle w:val="Heading1"/>
      </w:pPr>
      <w:r>
        <w:t>12. Modeling and visualization limitations</w:t>
      </w:r>
    </w:p>
    <w:p>
      <w:pPr>
        <w:ind w:left="317" w:hanging="173"/>
      </w:pPr>
      <w:r>
        <w:rPr>
          <w:b/>
        </w:rPr>
        <w:t xml:space="preserve">• </w:t>
      </w:r>
      <w:r>
        <w:t>Three-dimensional covariance pictures are exact only for three variables; higher-dimensional displays are projections.</w:t>
      </w:r>
    </w:p>
    <w:p>
      <w:pPr>
        <w:ind w:left="317" w:hanging="173"/>
      </w:pPr>
      <w:r>
        <w:rPr>
          <w:b/>
        </w:rPr>
        <w:t xml:space="preserve">• </w:t>
      </w:r>
      <w:r>
        <w:t>Gaussian scatter and posterior ellipses rely on Gaussian assumptions and should not be mistaken for universal distributional facts.</w:t>
      </w:r>
    </w:p>
    <w:p>
      <w:pPr>
        <w:ind w:left="317" w:hanging="173"/>
      </w:pPr>
      <w:r>
        <w:rPr>
          <w:b/>
        </w:rPr>
        <w:t xml:space="preserve">• </w:t>
      </w:r>
      <w:r>
        <w:t>VIF is a diagnostic for linear predictor dependence, not a complete model-quality diagnostic.</w:t>
      </w:r>
    </w:p>
    <w:p>
      <w:pPr>
        <w:ind w:left="317" w:hanging="173"/>
      </w:pPr>
      <w:r>
        <w:rPr>
          <w:b/>
        </w:rPr>
        <w:t xml:space="preserve">• </w:t>
      </w:r>
      <w:r>
        <w:t>Lasso behavior depends strongly on predictor scaling; practical implementations normally standardize predictors.</w:t>
      </w:r>
    </w:p>
    <w:p>
      <w:pPr>
        <w:ind w:left="317" w:hanging="173"/>
      </w:pPr>
      <w:r>
        <w:rPr>
          <w:b/>
        </w:rPr>
        <w:t xml:space="preserve">• </w:t>
      </w:r>
      <w:r>
        <w:t>PCR maximizes variance retained in X, not predictive information about y.</w:t>
      </w:r>
    </w:p>
    <w:p>
      <w:pPr>
        <w:ind w:left="317" w:hanging="173"/>
      </w:pPr>
      <w:r>
        <w:rPr>
          <w:b/>
        </w:rPr>
        <w:t xml:space="preserve">• </w:t>
      </w:r>
      <w:r>
        <w:t>The portfolio minimum in Explorer 3 is a grid-search visualization, not a production optimizer.</w:t>
      </w:r>
    </w:p>
    <w:p>
      <w:pPr>
        <w:ind w:left="317" w:hanging="173"/>
      </w:pPr>
      <w:r>
        <w:rPr>
          <w:b/>
        </w:rPr>
        <w:t xml:space="preserve">• </w:t>
      </w:r>
      <w:r>
        <w:t>Monte Carlo values in Explorers 8 and 9 are stochastic estimates and change across runs.</w:t>
      </w:r>
    </w:p>
    <w:p>
      <w:pPr>
        <w:pStyle w:val="Heading1"/>
      </w:pPr>
      <w:r>
        <w:t>Bibliography</w:t>
      </w:r>
    </w:p>
    <w:p>
      <w:pPr>
        <w:ind w:left="317" w:hanging="173"/>
      </w:pPr>
      <w:r>
        <w:rPr>
          <w:b/>
        </w:rPr>
        <w:t xml:space="preserve">• </w:t>
      </w:r>
      <w:r>
        <w:t>Axler, Sheldon. Linear Algebra Done Right. Springer.</w:t>
      </w:r>
    </w:p>
    <w:p>
      <w:pPr>
        <w:ind w:left="317" w:hanging="173"/>
      </w:pPr>
      <w:r>
        <w:rPr>
          <w:b/>
        </w:rPr>
        <w:t xml:space="preserve">• </w:t>
      </w:r>
      <w:r>
        <w:t>Strang, Gilbert. Linear Algebra and Its Applications. Cengage.</w:t>
      </w:r>
    </w:p>
    <w:p>
      <w:pPr>
        <w:ind w:left="317" w:hanging="173"/>
      </w:pPr>
      <w:r>
        <w:rPr>
          <w:b/>
        </w:rPr>
        <w:t xml:space="preserve">• </w:t>
      </w:r>
      <w:r>
        <w:t>Boyd, Stephen, and Lieven Vandenberghe. Convex Optimization. Cambridge University Press.</w:t>
      </w:r>
    </w:p>
    <w:p>
      <w:pPr>
        <w:ind w:left="317" w:hanging="173"/>
      </w:pPr>
      <w:r>
        <w:rPr>
          <w:b/>
        </w:rPr>
        <w:t xml:space="preserve">• </w:t>
      </w:r>
      <w:r>
        <w:t>Hastie, Trevor, Robert Tibshirani, and Jerome Friedman. The Elements of Statistical Learning. Springer.</w:t>
      </w:r>
    </w:p>
    <w:p>
      <w:pPr>
        <w:ind w:left="317" w:hanging="173"/>
      </w:pPr>
      <w:r>
        <w:rPr>
          <w:b/>
        </w:rPr>
        <w:t xml:space="preserve">• </w:t>
      </w:r>
      <w:r>
        <w:t>James, Gareth, Daniela Witten, Trevor Hastie, Robert Tibshirani, and Jonathan Taylor. An Introduction to Statistical Learning. Springer.</w:t>
      </w:r>
    </w:p>
    <w:p>
      <w:pPr>
        <w:ind w:left="317" w:hanging="173"/>
      </w:pPr>
      <w:r>
        <w:rPr>
          <w:b/>
        </w:rPr>
        <w:t xml:space="preserve">• </w:t>
      </w:r>
      <w:r>
        <w:t>Bishop, Christopher M. Pattern Recognition and Machine Learning. Springer.</w:t>
      </w:r>
    </w:p>
    <w:p>
      <w:pPr>
        <w:ind w:left="317" w:hanging="173"/>
      </w:pPr>
      <w:r>
        <w:rPr>
          <w:b/>
        </w:rPr>
        <w:t xml:space="preserve">• </w:t>
      </w:r>
      <w:r>
        <w:t>Gelman, Andrew, et al. Bayesian Data Analysis. CRC Press.</w:t>
      </w:r>
    </w:p>
    <w:p>
      <w:pPr>
        <w:ind w:left="317" w:hanging="173"/>
      </w:pPr>
      <w:r>
        <w:rPr>
          <w:b/>
        </w:rPr>
        <w:t xml:space="preserve">• </w:t>
      </w:r>
      <w:r>
        <w:t>Casella, George, and Roger L. Berger. Statistical Inference. Cengage.</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