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3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120"/>
        <w:jc w:val="center"/>
      </w:pPr>
      <w:r>
        <w:rPr>
          <w:b/>
          <w:bCs/>
          <w:color w:val="1F3864"/>
          <w:sz w:val="52"/>
          <w:szCs w:val="52"/>
        </w:rPr>
        <w:t xml:space="preserve">C I B E R S E G U R I D A D</w:t>
      </w:r>
    </w:p>
    <w:p>
      <w:pPr>
        <w:spacing w:after="60"/>
        <w:jc w:val="center"/>
      </w:pPr>
      <w:r>
        <w:rPr>
          <w:b/>
          <w:bCs/>
          <w:color w:val="2E5395"/>
          <w:sz w:val="34"/>
          <w:szCs w:val="34"/>
        </w:rPr>
        <w:t xml:space="preserve">Proyecto Final · Entregable E.02</w:t>
      </w:r>
    </w:p>
    <w:p>
      <w:pPr>
        <w:spacing w:after="400"/>
        <w:jc w:val="center"/>
      </w:pPr>
      <w:r>
        <w:rPr>
          <w:color w:val="262626"/>
          <w:sz w:val="28"/>
          <w:szCs w:val="28"/>
        </w:rPr>
        <w:t xml:space="preserve">Compromiso de la dirección y alcance del SGSI</w:t>
      </w:r>
    </w:p>
    <w:p>
      <w:pPr>
        <w:spacing w:after="120" w:before="40" w:line="276" w:lineRule="auto"/>
        <w:jc w:val="center"/>
      </w:pPr>
      <w:r>
        <w:rPr>
          <w:color w:val="595959"/>
          <w:sz w:val="22"/>
          <w:szCs w:val="22"/>
        </w:rPr>
        <w:t xml:space="preserve">Formato oficial del entregable E.02 de la Guía del Estudiante del Proyecto Final (2026)</w:t>
      </w:r>
    </w:p>
    <w:p>
      <w:pPr>
        <w:spacing w:after="200"/>
      </w:pPr>
    </w:p>
    <w:p>
      <w:pPr>
        <w:spacing w:after="120" w:before="40" w:line="276" w:lineRule="auto"/>
        <w:jc w:val="center"/>
      </w:pPr>
      <w:r>
        <w:rPr>
          <w:b/>
          <w:bCs/>
          <w:sz w:val="22"/>
          <w:szCs w:val="22"/>
        </w:rPr>
        <w:t xml:space="preserve">Docente:</w:t>
      </w:r>
      <w:r>
        <w:rPr>
          <w:sz w:val="22"/>
          <w:szCs w:val="22"/>
        </w:rPr>
        <w:t xml:space="preserve"> Ing. Héctor Cuchilla</w:t>
      </w:r>
    </w:p>
    <w:p>
      <w:pPr>
        <w:spacing w:after="120" w:before="40" w:line="276" w:lineRule="auto"/>
        <w:jc w:val="center"/>
      </w:pPr>
      <w:r>
        <w:rPr>
          <w:color w:val="595959"/>
          <w:sz w:val="20"/>
          <w:szCs w:val="20"/>
        </w:rPr>
        <w:t xml:space="preserve">ESEN – CIBERSEGURIDAD – CICLO 03 – 2026</w:t>
      </w:r>
    </w:p>
    <w:p>
      <w:r>
        <w:br w:type="page"/>
      </w:r>
    </w:p>
    <w:p>
      <w:pPr>
        <w:spacing w:after="160" w:before="40" w:line="276" w:lineRule="auto"/>
      </w:pPr>
      <w:r>
        <w:rPr>
          <w:b/>
          <w:bCs/>
          <w:color w:val="1F3864"/>
          <w:sz w:val="26"/>
          <w:szCs w:val="26"/>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Identificación del equipo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6336"/>
      </w:tblGrid>
      <w:tr>
        <w:trPr>
          <w:tblHeader/>
        </w:trPr>
        <w:tc>
          <w:tcPr>
            <w:tcW w:type="dxa" w:w="3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Registro</w:t>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Equipo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Organización del catálogo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Grupo de Implementación asignado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Integrantes</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Fecha de entrega</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Versión del documento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bl>
    <w:p>
      <w:pPr>
        <w:pStyle w:val="Heading1"/>
      </w:pPr>
      <w:r>
        <w:t xml:space="preserve">2. Instrucciones de uso</w:t>
      </w:r>
    </w:p>
    <w:p>
      <w:pPr>
        <w:pStyle w:val="ListParagraph"/>
        <w:numPr>
          <w:ilvl w:val="0"/>
          <w:numId w:val="2"/>
        </w:numPr>
        <w:spacing w:after="70" w:line="270" w:lineRule="auto"/>
      </w:pPr>
      <w:r>
        <w:t xml:space="preserve">La plantilla se completa para la organización asignada al equipo en el Catálogo de Empresas 2026.</w:t>
      </w:r>
    </w:p>
    <w:p>
      <w:pPr>
        <w:pStyle w:val="ListParagraph"/>
        <w:numPr>
          <w:ilvl w:val="0"/>
          <w:numId w:val="2"/>
        </w:numPr>
        <w:spacing w:after="70" w:line="270" w:lineRule="auto"/>
      </w:pPr>
      <w:r>
        <w:t xml:space="preserve">La sección E.02 de la Guía del Estudiante del Proyecto Final describe el objetivo de este entregable, sus insumos, los pasos, el llenado campo por campo, un ejemplo resuelto, los errores frecuentes, el checklist de cierre y la fecha de entrega.</w:t>
      </w:r>
    </w:p>
    <w:p>
      <w:pPr>
        <w:pStyle w:val="ListParagraph"/>
        <w:numPr>
          <w:ilvl w:val="0"/>
          <w:numId w:val="2"/>
        </w:numPr>
        <w:spacing w:after="70" w:line="270" w:lineRule="auto"/>
      </w:pPr>
      <w:r>
        <w:t xml:space="preserve">Las filas marcadas con «(p. ej.)» orientan el llenado y se reemplazan por los datos de la organización; los encabezados de las tablas se conservan.</w:t>
      </w:r>
    </w:p>
    <w:p>
      <w:pPr>
        <w:pStyle w:val="ListParagraph"/>
        <w:numPr>
          <w:ilvl w:val="0"/>
          <w:numId w:val="2"/>
        </w:numPr>
        <w:spacing w:after="70" w:line="270" w:lineRule="auto"/>
      </w:pPr>
      <w:r>
        <w:t xml:space="preserve">Nombre del archivo de entrega en Moodle: E02_Compromiso_Direccion_Alcance_SGSI_&lt;Equipo&gt;.docx (o .pdf).</w:t>
      </w:r>
    </w:p>
    <w:p>
      <w:pPr>
        <w:pStyle w:val="Heading1"/>
      </w:pPr>
      <w:r>
        <w:t xml:space="preserve">3. Compromiso de la dirección y alcance del SGSI</w:t>
      </w:r>
    </w:p>
    <w:p>
      <w:pPr>
        <w:spacing w:after="120" w:before="40" w:line="276" w:lineRule="auto"/>
      </w:pPr>
      <w:r>
        <w:t xml:space="preserve">Fundamento: ISO/IEC 27001:2022, cláusulas 4 (Contexto de la organización) y 5 (Liderazgo); función Gobernar de NIST CSF 2.0 (2024). Extensión de referencia: 2–3 páginas.</w:t>
      </w:r>
    </w:p>
    <w:p>
      <w:pPr>
        <w:spacing w:after="120" w:before="40" w:line="276" w:lineRule="auto"/>
      </w:pPr>
      <w:r>
        <w:t xml:space="preserve">El equipo redacta cada campo de las tablas A.1 y A.2 en su segunda columna, en prosa completa por fila, y sustituye la descripción que trae la plantilla.</w:t>
      </w:r>
    </w:p>
    <w:p>
      <w:pPr>
        <w:pStyle w:val="Heading2"/>
      </w:pPr>
      <w:r>
        <w:t xml:space="preserve">A.1 Declaración de compromiso de la dirección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00"/>
        <w:gridCol w:w="7236"/>
      </w:tblGrid>
      <w:tr>
        <w:trPr>
          <w:tblHeader/>
        </w:trPr>
        <w:tc>
          <w:tcPr>
            <w:tcW w:type="dxa" w:w="2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72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Contenido que redacta el equipo</w:t>
            </w:r>
          </w:p>
        </w:tc>
      </w:tr>
      <w:tr>
        <w:trPr>
          <w:cantSplit/>
        </w:trPr>
        <w:tc>
          <w:tcPr>
            <w:tcW w:type="dxa" w:w="2700"/>
            <w:tcMar>
              <w:top w:type="dxa" w:w="70"/>
              <w:left w:type="dxa" w:w="110"/>
              <w:bottom w:type="dxa" w:w="70"/>
              <w:right w:type="dxa" w:w="110"/>
            </w:tcMar>
            <w:vAlign w:val="center"/>
          </w:tcPr>
          <w:p>
            <w:pPr>
              <w:spacing w:after="0" w:before="0" w:line="276" w:lineRule="auto"/>
            </w:pPr>
            <w:r>
              <w:rPr>
                <w:sz w:val="18"/>
                <w:szCs w:val="18"/>
              </w:rPr>
              <w:t xml:space="preserve">Encabezado</w:t>
            </w:r>
          </w:p>
        </w:tc>
        <w:tc>
          <w:tcPr>
            <w:tcW w:type="dxa" w:w="7236"/>
            <w:tcMar>
              <w:top w:type="dxa" w:w="70"/>
              <w:left w:type="dxa" w:w="110"/>
              <w:bottom w:type="dxa" w:w="70"/>
              <w:right w:type="dxa" w:w="110"/>
            </w:tcMar>
            <w:vAlign w:val="center"/>
          </w:tcPr>
          <w:p>
            <w:pPr>
              <w:spacing w:after="0" w:before="0" w:line="276" w:lineRule="auto"/>
            </w:pPr>
            <w:r>
              <w:rPr>
                <w:sz w:val="18"/>
                <w:szCs w:val="18"/>
              </w:rPr>
              <w:t xml:space="preserve">Nombre de la organización (catálogo), fecha, firmantes simulados (dirección general y responsable de seguridad).</w:t>
            </w:r>
          </w:p>
        </w:tc>
      </w:tr>
      <w:tr>
        <w:trPr>
          <w:cantSplit/>
        </w:trPr>
        <w:tc>
          <w:tcPr>
            <w:tcW w:type="dxa" w:w="2700"/>
            <w:shd w:fill="F2F7FB" w:val="clear"/>
            <w:tcMar>
              <w:top w:type="dxa" w:w="70"/>
              <w:left w:type="dxa" w:w="110"/>
              <w:bottom w:type="dxa" w:w="70"/>
              <w:right w:type="dxa" w:w="110"/>
            </w:tcMar>
            <w:vAlign w:val="center"/>
          </w:tcPr>
          <w:p>
            <w:pPr>
              <w:spacing w:after="0" w:before="0" w:line="276" w:lineRule="auto"/>
            </w:pPr>
            <w:r>
              <w:rPr>
                <w:sz w:val="18"/>
                <w:szCs w:val="18"/>
              </w:rPr>
              <w:t xml:space="preserve">Contexto del negocio</w:t>
            </w:r>
          </w:p>
        </w:tc>
        <w:tc>
          <w:tcPr>
            <w:tcW w:type="dxa" w:w="7236"/>
            <w:shd w:fill="F2F7FB" w:val="clear"/>
            <w:tcMar>
              <w:top w:type="dxa" w:w="70"/>
              <w:left w:type="dxa" w:w="110"/>
              <w:bottom w:type="dxa" w:w="70"/>
              <w:right w:type="dxa" w:w="110"/>
            </w:tcMar>
            <w:vAlign w:val="center"/>
          </w:tcPr>
          <w:p>
            <w:pPr>
              <w:spacing w:after="0" w:before="0" w:line="276" w:lineRule="auto"/>
            </w:pPr>
            <w:r>
              <w:rPr>
                <w:sz w:val="18"/>
                <w:szCs w:val="18"/>
              </w:rPr>
              <w:t xml:space="preserve">Tres a cinco líneas: misión, procesos que sostienen los ingresos y dependencia tecnológica, tomados del perfil del catálogo y de la ficha de datos del cliente.</w:t>
            </w:r>
          </w:p>
        </w:tc>
      </w:tr>
      <w:tr>
        <w:trPr>
          <w:cantSplit/>
        </w:trPr>
        <w:tc>
          <w:tcPr>
            <w:tcW w:type="dxa" w:w="2700"/>
            <w:tcMar>
              <w:top w:type="dxa" w:w="70"/>
              <w:left w:type="dxa" w:w="110"/>
              <w:bottom w:type="dxa" w:w="70"/>
              <w:right w:type="dxa" w:w="110"/>
            </w:tcMar>
            <w:vAlign w:val="center"/>
          </w:tcPr>
          <w:p>
            <w:pPr>
              <w:spacing w:after="0" w:before="0" w:line="276" w:lineRule="auto"/>
            </w:pPr>
            <w:r>
              <w:rPr>
                <w:sz w:val="18"/>
                <w:szCs w:val="18"/>
              </w:rPr>
              <w:t xml:space="preserve">Declaración de compromiso</w:t>
            </w:r>
          </w:p>
        </w:tc>
        <w:tc>
          <w:tcPr>
            <w:tcW w:type="dxa" w:w="7236"/>
            <w:tcMar>
              <w:top w:type="dxa" w:w="70"/>
              <w:left w:type="dxa" w:w="110"/>
              <w:bottom w:type="dxa" w:w="70"/>
              <w:right w:type="dxa" w:w="110"/>
            </w:tcMar>
            <w:vAlign w:val="center"/>
          </w:tcPr>
          <w:p>
            <w:pPr>
              <w:spacing w:after="0" w:before="0" w:line="276" w:lineRule="auto"/>
            </w:pPr>
            <w:r>
              <w:rPr>
                <w:sz w:val="18"/>
                <w:szCs w:val="18"/>
              </w:rPr>
              <w:t xml:space="preserve">La dirección declara la seguridad de la información como prioridad del negocio, asigna recursos y autoridad al programa, y adopta CIS Controls v8.1 (2024) e ISO/IEC 27001:2022 como marcos.</w:t>
            </w:r>
          </w:p>
        </w:tc>
      </w:tr>
      <w:tr>
        <w:trPr>
          <w:cantSplit/>
        </w:trPr>
        <w:tc>
          <w:tcPr>
            <w:tcW w:type="dxa" w:w="2700"/>
            <w:shd w:fill="F2F7FB" w:val="clear"/>
            <w:tcMar>
              <w:top w:type="dxa" w:w="70"/>
              <w:left w:type="dxa" w:w="110"/>
              <w:bottom w:type="dxa" w:w="70"/>
              <w:right w:type="dxa" w:w="110"/>
            </w:tcMar>
            <w:vAlign w:val="center"/>
          </w:tcPr>
          <w:p>
            <w:pPr>
              <w:spacing w:after="0" w:before="0" w:line="276" w:lineRule="auto"/>
            </w:pPr>
            <w:r>
              <w:rPr>
                <w:sz w:val="18"/>
                <w:szCs w:val="18"/>
              </w:rPr>
              <w:t xml:space="preserve">Objetivos de seguridad</w:t>
            </w:r>
          </w:p>
        </w:tc>
        <w:tc>
          <w:tcPr>
            <w:tcW w:type="dxa" w:w="7236"/>
            <w:shd w:fill="F2F7FB" w:val="clear"/>
            <w:tcMar>
              <w:top w:type="dxa" w:w="70"/>
              <w:left w:type="dxa" w:w="110"/>
              <w:bottom w:type="dxa" w:w="70"/>
              <w:right w:type="dxa" w:w="110"/>
            </w:tcMar>
            <w:vAlign w:val="center"/>
          </w:tcPr>
          <w:p>
            <w:pPr>
              <w:spacing w:after="0" w:before="0" w:line="276" w:lineRule="auto"/>
            </w:pPr>
            <w:r>
              <w:rPr>
                <w:sz w:val="18"/>
                <w:szCs w:val="18"/>
              </w:rPr>
              <w:t xml:space="preserve">Tres a cinco objetivos medibles alineados al negocio, cada uno con fecha absoluta contada desde el arranque del programa del lunes 4 de enero de 2027 (p. ej. expediente clínico electrónico disponible con RTO de dos horas a partir del 30 de junio de 2027).</w:t>
            </w:r>
          </w:p>
        </w:tc>
      </w:tr>
      <w:tr>
        <w:trPr>
          <w:cantSplit/>
        </w:trPr>
        <w:tc>
          <w:tcPr>
            <w:tcW w:type="dxa" w:w="2700"/>
            <w:tcMar>
              <w:top w:type="dxa" w:w="70"/>
              <w:left w:type="dxa" w:w="110"/>
              <w:bottom w:type="dxa" w:w="70"/>
              <w:right w:type="dxa" w:w="110"/>
            </w:tcMar>
            <w:vAlign w:val="center"/>
          </w:tcPr>
          <w:p>
            <w:pPr>
              <w:spacing w:after="0" w:before="0" w:line="276" w:lineRule="auto"/>
            </w:pPr>
            <w:r>
              <w:rPr>
                <w:sz w:val="18"/>
                <w:szCs w:val="18"/>
              </w:rPr>
              <w:t xml:space="preserve">Compromisos concretos</w:t>
            </w:r>
          </w:p>
        </w:tc>
        <w:tc>
          <w:tcPr>
            <w:tcW w:type="dxa" w:w="7236"/>
            <w:tcMar>
              <w:top w:type="dxa" w:w="70"/>
              <w:left w:type="dxa" w:w="110"/>
              <w:bottom w:type="dxa" w:w="70"/>
              <w:right w:type="dxa" w:w="110"/>
            </w:tcMar>
            <w:vAlign w:val="center"/>
          </w:tcPr>
          <w:p>
            <w:pPr>
              <w:spacing w:after="0" w:before="0" w:line="276" w:lineRule="auto"/>
            </w:pPr>
            <w:r>
              <w:rPr>
                <w:sz w:val="18"/>
                <w:szCs w:val="18"/>
              </w:rPr>
              <w:t xml:space="preserve">Presupuesto aprobado para seguridad por año (inversión y operación) y personal, copiados del bloque «Organización y presupuesto» de la ficha; revisión por la dirección con frecuencia definida y apoyo a la mejora continua PDCA.</w:t>
            </w:r>
          </w:p>
        </w:tc>
      </w:tr>
    </w:tbl>
    <w:p>
      <w:pPr>
        <w:pStyle w:val="Heading2"/>
      </w:pPr>
      <w:r>
        <w:t xml:space="preserve">A.2 Alcance del SGSI</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00"/>
        <w:gridCol w:w="7236"/>
      </w:tblGrid>
      <w:tr>
        <w:trPr>
          <w:tblHeader/>
        </w:trPr>
        <w:tc>
          <w:tcPr>
            <w:tcW w:type="dxa" w:w="2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72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Contenido que redacta el equipo</w:t>
            </w:r>
          </w:p>
        </w:tc>
      </w:tr>
      <w:tr>
        <w:trPr>
          <w:cantSplit/>
        </w:trPr>
        <w:tc>
          <w:tcPr>
            <w:tcW w:type="dxa" w:w="2700"/>
            <w:tcMar>
              <w:top w:type="dxa" w:w="70"/>
              <w:left w:type="dxa" w:w="110"/>
              <w:bottom w:type="dxa" w:w="70"/>
              <w:right w:type="dxa" w:w="110"/>
            </w:tcMar>
            <w:vAlign w:val="center"/>
          </w:tcPr>
          <w:p>
            <w:pPr>
              <w:spacing w:after="0" w:before="0" w:line="276" w:lineRule="auto"/>
            </w:pPr>
            <w:r>
              <w:rPr>
                <w:sz w:val="18"/>
                <w:szCs w:val="18"/>
              </w:rPr>
              <w:t xml:space="preserve">Procesos cubiertos</w:t>
            </w:r>
          </w:p>
        </w:tc>
        <w:tc>
          <w:tcPr>
            <w:tcW w:type="dxa" w:w="7236"/>
            <w:tcMar>
              <w:top w:type="dxa" w:w="70"/>
              <w:left w:type="dxa" w:w="110"/>
              <w:bottom w:type="dxa" w:w="70"/>
              <w:right w:type="dxa" w:w="110"/>
            </w:tcMar>
            <w:vAlign w:val="center"/>
          </w:tcPr>
          <w:p>
            <w:pPr>
              <w:spacing w:after="0" w:before="0" w:line="276" w:lineRule="auto"/>
            </w:pPr>
            <w:r>
              <w:rPr>
                <w:sz w:val="18"/>
                <w:szCs w:val="18"/>
              </w:rPr>
              <w:t xml:space="preserve">Los procesos de negocio dentro del alcance (del perfil de la organización; el BIA de E.03 confirma cuáles son críticos).</w:t>
            </w:r>
          </w:p>
        </w:tc>
      </w:tr>
      <w:tr>
        <w:trPr>
          <w:cantSplit/>
        </w:trPr>
        <w:tc>
          <w:tcPr>
            <w:tcW w:type="dxa" w:w="2700"/>
            <w:shd w:fill="F2F7FB" w:val="clear"/>
            <w:tcMar>
              <w:top w:type="dxa" w:w="70"/>
              <w:left w:type="dxa" w:w="110"/>
              <w:bottom w:type="dxa" w:w="70"/>
              <w:right w:type="dxa" w:w="110"/>
            </w:tcMar>
            <w:vAlign w:val="center"/>
          </w:tcPr>
          <w:p>
            <w:pPr>
              <w:spacing w:after="0" w:before="0" w:line="276" w:lineRule="auto"/>
            </w:pPr>
            <w:r>
              <w:rPr>
                <w:sz w:val="18"/>
                <w:szCs w:val="18"/>
              </w:rPr>
              <w:t xml:space="preserve">Unidades y sedes</w:t>
            </w:r>
          </w:p>
        </w:tc>
        <w:tc>
          <w:tcPr>
            <w:tcW w:type="dxa" w:w="7236"/>
            <w:shd w:fill="F2F7FB" w:val="clear"/>
            <w:tcMar>
              <w:top w:type="dxa" w:w="70"/>
              <w:left w:type="dxa" w:w="110"/>
              <w:bottom w:type="dxa" w:w="70"/>
              <w:right w:type="dxa" w:w="110"/>
            </w:tcMar>
            <w:vAlign w:val="center"/>
          </w:tcPr>
          <w:p>
            <w:pPr>
              <w:spacing w:after="0" w:before="0" w:line="276" w:lineRule="auto"/>
            </w:pPr>
            <w:r>
              <w:rPr>
                <w:sz w:val="18"/>
                <w:szCs w:val="18"/>
              </w:rPr>
              <w:t xml:space="preserve">Áreas organizacionales y ubicaciones incluidas.</w:t>
            </w:r>
          </w:p>
        </w:tc>
      </w:tr>
      <w:tr>
        <w:trPr>
          <w:cantSplit/>
        </w:trPr>
        <w:tc>
          <w:tcPr>
            <w:tcW w:type="dxa" w:w="2700"/>
            <w:tcMar>
              <w:top w:type="dxa" w:w="70"/>
              <w:left w:type="dxa" w:w="110"/>
              <w:bottom w:type="dxa" w:w="70"/>
              <w:right w:type="dxa" w:w="110"/>
            </w:tcMar>
            <w:vAlign w:val="center"/>
          </w:tcPr>
          <w:p>
            <w:pPr>
              <w:spacing w:after="0" w:before="0" w:line="276" w:lineRule="auto"/>
            </w:pPr>
            <w:r>
              <w:rPr>
                <w:sz w:val="18"/>
                <w:szCs w:val="18"/>
              </w:rPr>
              <w:t xml:space="preserve">Sistemas e infraestructura</w:t>
            </w:r>
          </w:p>
        </w:tc>
        <w:tc>
          <w:tcPr>
            <w:tcW w:type="dxa" w:w="7236"/>
            <w:tcMar>
              <w:top w:type="dxa" w:w="70"/>
              <w:left w:type="dxa" w:w="110"/>
              <w:bottom w:type="dxa" w:w="70"/>
              <w:right w:type="dxa" w:w="110"/>
            </w:tcMar>
            <w:vAlign w:val="center"/>
          </w:tcPr>
          <w:p>
            <w:pPr>
              <w:spacing w:after="0" w:before="0" w:line="276" w:lineRule="auto"/>
            </w:pPr>
            <w:r>
              <w:rPr>
                <w:sz w:val="18"/>
                <w:szCs w:val="18"/>
              </w:rPr>
              <w:t xml:space="preserve">Plataformas, aplicaciones y servicios tecnológicos incluidos (del perfil del catálogo).</w:t>
            </w:r>
          </w:p>
        </w:tc>
      </w:tr>
      <w:tr>
        <w:trPr>
          <w:cantSplit/>
        </w:trPr>
        <w:tc>
          <w:tcPr>
            <w:tcW w:type="dxa" w:w="2700"/>
            <w:shd w:fill="F2F7FB" w:val="clear"/>
            <w:tcMar>
              <w:top w:type="dxa" w:w="70"/>
              <w:left w:type="dxa" w:w="110"/>
              <w:bottom w:type="dxa" w:w="70"/>
              <w:right w:type="dxa" w:w="110"/>
            </w:tcMar>
            <w:vAlign w:val="center"/>
          </w:tcPr>
          <w:p>
            <w:pPr>
              <w:spacing w:after="0" w:before="0" w:line="276" w:lineRule="auto"/>
            </w:pPr>
            <w:r>
              <w:rPr>
                <w:sz w:val="18"/>
                <w:szCs w:val="18"/>
              </w:rPr>
              <w:t xml:space="preserve">Exclusiones justificadas</w:t>
            </w:r>
          </w:p>
        </w:tc>
        <w:tc>
          <w:tcPr>
            <w:tcW w:type="dxa" w:w="7236"/>
            <w:shd w:fill="F2F7FB" w:val="clear"/>
            <w:tcMar>
              <w:top w:type="dxa" w:w="70"/>
              <w:left w:type="dxa" w:w="110"/>
              <w:bottom w:type="dxa" w:w="70"/>
              <w:right w:type="dxa" w:w="110"/>
            </w:tcMar>
            <w:vAlign w:val="center"/>
          </w:tcPr>
          <w:p>
            <w:pPr>
              <w:spacing w:after="0" w:before="0" w:line="276" w:lineRule="auto"/>
            </w:pPr>
            <w:r>
              <w:rPr>
                <w:sz w:val="18"/>
                <w:szCs w:val="18"/>
              </w:rPr>
              <w:t xml:space="preserve">Qué queda fuera del alcance y por qué (una línea por exclusión).</w:t>
            </w:r>
          </w:p>
        </w:tc>
      </w:tr>
      <w:tr>
        <w:trPr>
          <w:cantSplit/>
        </w:trPr>
        <w:tc>
          <w:tcPr>
            <w:tcW w:type="dxa" w:w="2700"/>
            <w:tcMar>
              <w:top w:type="dxa" w:w="70"/>
              <w:left w:type="dxa" w:w="110"/>
              <w:bottom w:type="dxa" w:w="70"/>
              <w:right w:type="dxa" w:w="110"/>
            </w:tcMar>
            <w:vAlign w:val="center"/>
          </w:tcPr>
          <w:p>
            <w:pPr>
              <w:spacing w:after="0" w:before="0" w:line="276" w:lineRule="auto"/>
            </w:pPr>
            <w:r>
              <w:rPr>
                <w:sz w:val="18"/>
                <w:szCs w:val="18"/>
              </w:rPr>
              <w:t xml:space="preserve">Partes interesadas y requisitos</w:t>
            </w:r>
          </w:p>
        </w:tc>
        <w:tc>
          <w:tcPr>
            <w:tcW w:type="dxa" w:w="7236"/>
            <w:tcMar>
              <w:top w:type="dxa" w:w="70"/>
              <w:left w:type="dxa" w:w="110"/>
              <w:bottom w:type="dxa" w:w="70"/>
              <w:right w:type="dxa" w:w="110"/>
            </w:tcMar>
            <w:vAlign w:val="center"/>
          </w:tcPr>
          <w:p>
            <w:pPr>
              <w:spacing w:after="0" w:before="0" w:line="276" w:lineRule="auto"/>
            </w:pPr>
            <w:r>
              <w:rPr>
                <w:sz w:val="18"/>
                <w:szCs w:val="18"/>
              </w:rPr>
              <w:t xml:space="preserve">Clientes, reguladores y terceros relevantes; requisitos legales de la fila «Cumplimiento que el cliente reconoce» de la ficha; la LPDP (D.L. 144/2024) con la notificación del art. 25 (72 horas, a la Agencia de Ciberseguridad del Estado, a la Fiscalía General de la República y a los titulares afectados); la Ley de Ciberseguridad y Seguridad de la Información (D.L. 143/2024) según el ámbito de su art. 2.</w:t>
            </w:r>
          </w:p>
        </w:tc>
      </w:tr>
    </w:tbl>
    <w:p>
      <w:pPr>
        <w:pStyle w:val="Heading2"/>
      </w:pPr>
      <w:r>
        <w:t xml:space="preserve">A.3 Revisión del alcance tras el BIA (versión 1.1, se entrega con E.03)</w:t>
      </w:r>
    </w:p>
    <w:p>
      <w:pPr>
        <w:spacing w:after="120" w:before="40" w:line="276" w:lineRule="auto"/>
      </w:pPr>
      <w:r>
        <w:t xml:space="preserve">Se completa en la versión 1.1 de E.02, que se entrega junto con E.03: una fila por cada diferencia entre los procesos cubiertos por el alcance y la clase que BIA_P05 les asigna.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800"/>
        <w:gridCol w:w="3336"/>
      </w:tblGrid>
      <w:tr>
        <w:trPr>
          <w:tblHeader/>
        </w:trPr>
        <w:tc>
          <w:tcPr>
            <w:tcW w:type="dxa" w:w="2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Proceso</w:t>
            </w:r>
          </w:p>
        </w:tc>
        <w:tc>
          <w:tcPr>
            <w:tcW w:type="dxa" w:w="1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Clase en BIA_P05</w:t>
            </w:r>
          </w:p>
        </w:tc>
        <w:tc>
          <w:tcPr>
            <w:tcW w:type="dxa" w:w="2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Diferencia con el alcance de la versión 1.0</w:t>
            </w:r>
          </w:p>
        </w:tc>
        <w:tc>
          <w:tcPr>
            <w:tcW w:type="dxa" w:w="3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Decisión (mantener o ajustar el alcance) y justificación</w:t>
            </w:r>
          </w:p>
        </w:tc>
      </w:tr>
      <w:tr>
        <w:trPr>
          <w:cantSplit/>
        </w:trPr>
        <w:tc>
          <w:tcPr>
            <w:tcW w:type="dxa" w:w="2300"/>
            <w:tcMar>
              <w:top w:type="dxa" w:w="70"/>
              <w:left w:type="dxa" w:w="110"/>
              <w:bottom w:type="dxa" w:w="70"/>
              <w:right w:type="dxa" w:w="110"/>
            </w:tcMar>
            <w:vAlign w:val="center"/>
          </w:tcPr>
          <w:p>
            <w:pPr>
              <w:spacing w:after="0" w:before="0" w:line="276" w:lineRule="auto"/>
            </w:pPr>
            <w:r>
              <w:rPr>
                <w:sz w:val="16"/>
                <w:szCs w:val="16"/>
              </w:rPr>
              <w:t xml:space="preserve">(p. ej.) Farmacia y laboratorio — RHM</w:t>
            </w:r>
          </w:p>
        </w:tc>
        <w:tc>
          <w:tcPr>
            <w:tcW w:type="dxa" w:w="1500"/>
            <w:tcMar>
              <w:top w:type="dxa" w:w="70"/>
              <w:left w:type="dxa" w:w="110"/>
              <w:bottom w:type="dxa" w:w="70"/>
              <w:right w:type="dxa" w:w="110"/>
            </w:tcMar>
            <w:vAlign w:val="center"/>
          </w:tcPr>
          <w:p>
            <w:pPr>
              <w:spacing w:after="0" w:before="0" w:line="276" w:lineRule="auto"/>
            </w:pPr>
            <w:r>
              <w:rPr>
                <w:sz w:val="16"/>
                <w:szCs w:val="16"/>
              </w:rPr>
              <w:t xml:space="preserve">Importante</w:t>
            </w:r>
          </w:p>
        </w:tc>
        <w:tc>
          <w:tcPr>
            <w:tcW w:type="dxa" w:w="2800"/>
            <w:tcMar>
              <w:top w:type="dxa" w:w="70"/>
              <w:left w:type="dxa" w:w="110"/>
              <w:bottom w:type="dxa" w:w="70"/>
              <w:right w:type="dxa" w:w="110"/>
            </w:tcMar>
            <w:vAlign w:val="center"/>
          </w:tcPr>
          <w:p>
            <w:pPr>
              <w:spacing w:after="0" w:before="0" w:line="276" w:lineRule="auto"/>
            </w:pPr>
            <w:r>
              <w:rPr>
                <w:sz w:val="16"/>
                <w:szCs w:val="16"/>
              </w:rPr>
              <w:t xml:space="preserve">El alcance lo trataba como crítico</w:t>
            </w:r>
          </w:p>
        </w:tc>
        <w:tc>
          <w:tcPr>
            <w:tcW w:type="dxa" w:w="3336"/>
            <w:tcMar>
              <w:top w:type="dxa" w:w="70"/>
              <w:left w:type="dxa" w:w="110"/>
              <w:bottom w:type="dxa" w:w="70"/>
              <w:right w:type="dxa" w:w="110"/>
            </w:tcMar>
            <w:vAlign w:val="center"/>
          </w:tcPr>
          <w:p>
            <w:pPr>
              <w:spacing w:after="0" w:before="0" w:line="276" w:lineRule="auto"/>
            </w:pPr>
            <w:r>
              <w:rPr>
                <w:sz w:val="16"/>
                <w:szCs w:val="16"/>
              </w:rPr>
              <w:t xml:space="preserve">Se mantiene en el alcance: trata datos de salud y su riesgo pasa a E.05</w:t>
            </w:r>
          </w:p>
        </w:tc>
      </w:tr>
      <w:tr>
        <w:trPr>
          <w:cantSplit/>
        </w:trPr>
        <w:tc>
          <w:tcPr>
            <w:tcW w:type="dxa" w:w="2300"/>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1500"/>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2800"/>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336"/>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r>
    </w:tbl>
    <w:p>
      <w:pPr>
        <w:pStyle w:val="Heading2"/>
      </w:pPr>
      <w:r>
        <w:t xml:space="preserve">Supuestos declarados en este entregable</w:t>
      </w:r>
    </w:p>
    <w:p>
      <w:pPr>
        <w:spacing w:after="120" w:before="40" w:line="276" w:lineRule="auto"/>
      </w:pPr>
      <w:r>
        <w:t xml:space="preserve">Solo se declara como supuesto lo que ni el perfil del catálogo ni la ficha de datos del cliente traen: un dato que la ficha trae nunca se sustituye por un supuesto. Cada supuesto lleva un identificador global y correlativo en todo el proyecto (S-01, S-02…): el entregable continúa la numeración del anterior y E.11 los consolida en su Anexo A. Cuando el entregable no declara supuestos, la primera fila lo dice.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3868"/>
        <w:gridCol w:w="3868"/>
      </w:tblGrid>
      <w:tr>
        <w:trPr>
          <w:tblHeader/>
        </w:trPr>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ID (S-nn, numeración global)</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Supuesto</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Fundamento u origen</w:t>
            </w:r>
          </w:p>
        </w:tc>
      </w:tr>
      <w:tr>
        <w:trPr>
          <w:cantSplit/>
        </w:trPr>
        <w:tc>
          <w:tcPr>
            <w:tcW w:type="dxa" w:w="2200"/>
            <w:tcMar>
              <w:top w:type="dxa" w:w="70"/>
              <w:left w:type="dxa" w:w="110"/>
              <w:bottom w:type="dxa" w:w="70"/>
              <w:right w:type="dxa" w:w="110"/>
            </w:tcMar>
            <w:vAlign w:val="center"/>
          </w:tcPr>
          <w:p>
            <w:pPr>
              <w:spacing w:after="0" w:before="0" w:line="276" w:lineRule="auto"/>
            </w:pPr>
            <w:r>
              <w:rPr>
                <w:sz w:val="16"/>
                <w:szCs w:val="16"/>
              </w:rPr>
              <w:t xml:space="preserve">(p. ej.) S-07</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Horario de la sede regional de 7:00 a 17:00</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La ficha trae el horario de la sede principal y no el de la regional; se adopta el mismo y se confirma en la asesoría semanal</w:t>
            </w:r>
          </w:p>
        </w:tc>
      </w:tr>
      <w:tr>
        <w:trPr>
          <w:cantSplit/>
        </w:trPr>
        <w:tc>
          <w:tcPr>
            <w:tcW w:type="dxa" w:w="2200"/>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r>
    </w:tbl>
    <w:sectPr>
      <w:footerReference w:type="default" r:id="rId7"/>
      <w:pgSz w:w="12240" w:h="15840" w:orient="portrait"/>
      <w:pgMar w:top="1000" w:right="1152" w:bottom="105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before="60"/>
      <w:jc w:val="center"/>
    </w:pPr>
    <w:r>
      <w:rPr>
        <w:color w:val="595959"/>
        <w:sz w:val="16"/>
        <w:szCs w:val="16"/>
      </w:rPr>
      <w:t xml:space="preserve">ESEN – Ciberseguridad · Proyecto Final · E.02 Compromiso de la dirección y alcance del SGSI (2026) · HectorCuchilla@Protonmail.com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2E5395"/>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70"/>
      </w:pPr>
    </w:lvl>
  </w:abstractNum>
  <w:abstractNum w:abstractNumId="4" w15:restartNumberingAfterBreak="0">
    <w:multiLevelType w:val="hybridMultilevel"/>
    <w:lvl w:ilvl="0" w15:tentative="1">
      <w:start w:val="1"/>
      <w:numFmt w:val="decimal"/>
      <w:lvlText w:val="%1."/>
      <w:lvlJc w:val="left"/>
      <w:pPr>
        <w:ind w:left="430" w:hanging="270"/>
      </w:pPr>
    </w:lvl>
  </w:abstractNum>
  <w:abstractNum w:abstractNumId="5" w15:restartNumberingAfterBreak="0">
    <w:multiLevelType w:val="hybridMultilevel"/>
    <w:lvl w:ilvl="0" w15:tentative="1">
      <w:start w:val="1"/>
      <w:numFmt w:val="decimal"/>
      <w:lvlText w:val="%1."/>
      <w:lvlJc w:val="left"/>
      <w:pPr>
        <w:ind w:left="430" w:hanging="270"/>
      </w:pPr>
    </w:lvl>
  </w:abstractNum>
  <w:abstractNum w:abstractNumId="6" w15:restartNumberingAfterBreak="0">
    <w:multiLevelType w:val="hybridMultilevel"/>
    <w:lvl w:ilvl="0" w15:tentative="1">
      <w:start w:val="1"/>
      <w:numFmt w:val="decimal"/>
      <w:lvlText w:val="%1."/>
      <w:lvlJc w:val="left"/>
      <w:pPr>
        <w:ind w:left="430" w:hanging="270"/>
      </w:pPr>
    </w:lvl>
  </w:abstractNum>
  <w:abstractNum w:abstractNumId="7" w15:restartNumberingAfterBreak="0">
    <w:multiLevelType w:val="hybridMultilevel"/>
    <w:lvl w:ilvl="0" w15:tentative="1">
      <w:start w:val="1"/>
      <w:numFmt w:val="decimal"/>
      <w:lvlText w:val="%1."/>
      <w:lvlJc w:val="left"/>
      <w:pPr>
        <w:ind w:left="430" w:hanging="270"/>
      </w:pPr>
    </w:lvl>
  </w:abstractNum>
  <w:abstractNum w:abstractNumId="8" w15:restartNumberingAfterBreak="0">
    <w:multiLevelType w:val="hybridMultilevel"/>
    <w:lvl w:ilvl="0" w15:tentative="1">
      <w:start w:val="1"/>
      <w:numFmt w:val="decimal"/>
      <w:lvlText w:val="%1."/>
      <w:lvlJc w:val="left"/>
      <w:pPr>
        <w:ind w:left="430" w:hanging="270"/>
      </w:pPr>
    </w:lvl>
  </w:abstractNum>
  <w:abstractNum w:abstractNumId="9" w15:restartNumberingAfterBreak="0">
    <w:multiLevelType w:val="hybridMultilevel"/>
    <w:lvl w:ilvl="0" w15:tentative="1">
      <w:start w:val="1"/>
      <w:numFmt w:val="decimal"/>
      <w:lvlText w:val="%1."/>
      <w:lvlJc w:val="left"/>
      <w:pPr>
        <w:ind w:left="430" w:hanging="270"/>
      </w:pPr>
    </w:lvl>
  </w:abstractNum>
  <w:abstractNum w:abstractNumId="10" w15:restartNumberingAfterBreak="0">
    <w:multiLevelType w:val="hybridMultilevel"/>
    <w:lvl w:ilvl="0" w15:tentative="1">
      <w:start w:val="1"/>
      <w:numFmt w:val="decimal"/>
      <w:lvlText w:val="%1."/>
      <w:lvlJc w:val="left"/>
      <w:pPr>
        <w:ind w:left="430" w:hanging="270"/>
      </w:pPr>
    </w:lvl>
  </w:abstractNum>
  <w:abstractNum w:abstractNumId="11" w15:restartNumberingAfterBreak="0">
    <w:multiLevelType w:val="hybridMultilevel"/>
    <w:lvl w:ilvl="0" w15:tentative="1">
      <w:start w:val="1"/>
      <w:numFmt w:val="decimal"/>
      <w:lvlText w:val="%1."/>
      <w:lvlJc w:val="left"/>
      <w:pPr>
        <w:ind w:left="430" w:hanging="270"/>
      </w:pPr>
    </w:lvl>
  </w:abstractNum>
  <w:abstractNum w:abstractNumId="12" w15:restartNumberingAfterBreak="0">
    <w:multiLevelType w:val="hybridMultilevel"/>
    <w:lvl w:ilvl="0" w15:tentative="1">
      <w:start w:val="1"/>
      <w:numFmt w:val="decimal"/>
      <w:lvlText w:val="%1."/>
      <w:lvlJc w:val="left"/>
      <w:pPr>
        <w:ind w:left="430" w:hanging="270"/>
      </w:pPr>
    </w:lvl>
  </w:abstractNum>
  <w:abstractNum w:abstractNumId="13" w15:restartNumberingAfterBreak="0">
    <w:multiLevelType w:val="hybridMultilevel"/>
    <w:lvl w:ilvl="0" w15:tentative="1">
      <w:start w:val="1"/>
      <w:numFmt w:val="decimal"/>
      <w:lvlText w:val="%1."/>
      <w:lvlJc w:val="left"/>
      <w:pPr>
        <w:ind w:left="430" w:hanging="270"/>
      </w:pPr>
    </w:lvl>
  </w:abstractNum>
  <w:abstractNum w:abstractNumId="14" w15:restartNumberingAfterBreak="0">
    <w:multiLevelType w:val="hybridMultilevel"/>
    <w:lvl w:ilvl="0" w15:tentative="1">
      <w:start w:val="1"/>
      <w:numFmt w:val="decimal"/>
      <w:lvlText w:val="%1."/>
      <w:lvlJc w:val="left"/>
      <w:pPr>
        <w:ind w:left="430" w:hanging="270"/>
      </w:pPr>
    </w:lvl>
  </w:abstractNum>
  <w:abstractNum w:abstractNumId="15" w15:restartNumberingAfterBreak="0">
    <w:multiLevelType w:val="hybridMultilevel"/>
    <w:lvl w:ilvl="0" w15:tentative="1">
      <w:start w:val="1"/>
      <w:numFmt w:val="decimal"/>
      <w:lvlText w:val="%1."/>
      <w:lvlJc w:val="left"/>
      <w:pPr>
        <w:ind w:left="430" w:hanging="270"/>
      </w:pPr>
    </w:lvl>
  </w:abstractNum>
  <w:abstractNum w:abstractNumId="16" w15:restartNumberingAfterBreak="0">
    <w:multiLevelType w:val="hybridMultilevel"/>
    <w:lvl w:ilvl="0" w15:tentative="1">
      <w:start w:val="1"/>
      <w:numFmt w:val="decimal"/>
      <w:lvlText w:val="%1."/>
      <w:lvlJc w:val="left"/>
      <w:pPr>
        <w:ind w:left="43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395" w:sz="8" w:space="2"/>
      </w:pBdr>
      <w:spacing w:after="15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E5395"/>
      <w:sz w:val="24"/>
      <w:szCs w:val="24"/>
    </w:rPr>
  </w:style>
  <w:style w:type="paragraph" w:styleId="Heading3">
    <w:name w:val="heading 3"/>
    <w:basedOn w:val="Normal"/>
    <w:next w:val="Normal"/>
    <w:qFormat/>
    <w:pPr>
      <w:keepNext/>
      <w:spacing w:after="80" w:before="17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6c20397667e412b00d78d7702cd5f80d0c09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2026-09-26T23:15:12.125Z</dcterms:created>
  <dcterms:modified xsi:type="dcterms:W3CDTF">2026-09-26T23:15:12.125Z</dcterms:modified>
</cp:coreProperties>
</file>

<file path=docProps/custom.xml><?xml version="1.0" encoding="utf-8"?>
<Properties xmlns="http://schemas.openxmlformats.org/officeDocument/2006/custom-properties" xmlns:vt="http://schemas.openxmlformats.org/officeDocument/2006/docPropsVTypes"/>
</file>