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E.03</w:t>
      </w:r>
    </w:p>
    <w:p>
      <w:pPr>
        <w:spacing w:after="400"/>
        <w:jc w:val="center"/>
      </w:pPr>
      <w:r>
        <w:rPr>
          <w:color w:val="262626"/>
          <w:sz w:val="28"/>
          <w:szCs w:val="28"/>
        </w:rPr>
        <w:t xml:space="preserve">BIA: consolidación de procesos críticos</w:t>
      </w:r>
    </w:p>
    <w:p>
      <w:pPr>
        <w:spacing w:after="120" w:before="40" w:line="276" w:lineRule="auto"/>
        <w:jc w:val="center"/>
      </w:pPr>
      <w:r>
        <w:rPr>
          <w:color w:val="595959"/>
          <w:sz w:val="22"/>
          <w:szCs w:val="22"/>
        </w:rPr>
        <w:t xml:space="preserve">Formato oficial del entregable E.03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E.03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E03_BIA_Consolidacion_Procesos_Criticos_&lt;Equipo&gt;.docx (o .pdf).</w:t>
      </w:r>
    </w:p>
    <w:p>
      <w:pPr>
        <w:pStyle w:val="Heading1"/>
      </w:pPr>
      <w:r>
        <w:t xml:space="preserve">3. BIA: consolidación de procesos críticos</w:t>
      </w:r>
    </w:p>
    <w:p>
      <w:pPr>
        <w:spacing w:after="120" w:before="40" w:line="276" w:lineRule="auto"/>
      </w:pPr>
      <w:r>
        <w:t xml:space="preserve">El análisis de impacto al negocio (BIA) determina qué procesos son críticos, cuánto tolera la organización su interrupción y cuánto cuesta cada unidad de tiempo de indisponibilidad. El método oficial del proyecto es el de la </w:t>
      </w:r>
      <w:r>
        <w:rPr>
          <w:b/>
          <w:bCs/>
        </w:rPr>
        <w:t xml:space="preserve">Guía del Estudiante del BIA</w:t>
      </w:r>
      <w:r>
        <w:t xml:space="preserve"> (asignación de la Semana 2): trece pasos en este orden: (1) preparar y levantar los datos con entrevista, cuestionario, taller, validación con el dueño del proceso y aprobación de la dirección; (2) inventariar los procesos; (3) fijar las métricas de tiempo MTPD (también llamado MTD), RTO, WRT, RPO y MBCO con la comprobación RTO + WRT ≤ MTPD; (4) valorar el impacto en cinco categorías (financiero, operativo, legal y regulatorio, reputacional y seguridad de las personas) en cinco cortes (4 h, 24 h, 72 h, 1 semana, 1 mes) y derivar el MTPD del umbral de tolerancia; (5) registrar la estacionalidad y el procedimiento alterno con su duración máxima sostenible; (6) mapear las seis clases de dependencia, el recurso mínimo de recuperación y los puntos únicos de falla; (7) priorizar con un puntaje explícito; (8) cuantificar AV, EF, SLE = AV × EF y el costo de la indisponibilidad por hora y por día; (9) fijar la frontera con el análisis de riesgos; (10) justificar el control en cinco pasos con ACC y ROSI; (11) declarar el método de valoración; (12) someter los supuestos al análisis de sensibilidad; (13) redactar el informe ejecutivo. Fundamento: ISO 22301:2019, ISO/TS 22317:2021 y NIST SP 800-34 Rev. 1. Los pasos 9 y 10 (ARO, ALE, cinco pasos de justificación, ACC y ROSI) se ejecutan en el proyecto dentro de la matriz de riesgos, entregable E.05, porque requieren estimar la frecuencia de la amenaza.</w:t>
      </w:r>
    </w:p>
    <w:p>
      <w:pPr>
        <w:spacing w:after="120" w:before="40" w:line="276" w:lineRule="auto"/>
      </w:pPr>
      <w:r>
        <w:t xml:space="preserve">El BIA se desarrolla sobre las siete plantillas del BIA y se entrega en E.03 como un solo paquete: esta hoja de consolidación más los siete archivos como anexos obligatorios.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336"/>
      </w:tblGrid>
      <w:tr>
        <w:trPr>
          <w:tblHeader/>
        </w:trPr>
        <w:tc>
          <w:tcPr>
            <w:tcW w:type="dxa" w:w="3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Plantilla del BIA</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Paso de la Guía BIA</w:t>
            </w:r>
          </w:p>
        </w:tc>
        <w:tc>
          <w:tcPr>
            <w:tcW w:type="dxa" w:w="5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 que aporta a la consolidación</w:t>
            </w:r>
          </w:p>
        </w:tc>
      </w:tr>
      <w:tr>
        <w:trPr>
          <w:cantSplit/>
        </w:trPr>
        <w:tc>
          <w:tcPr>
            <w:tcW w:type="dxa" w:w="3300"/>
            <w:tcMar>
              <w:top w:type="dxa" w:w="70"/>
              <w:left w:type="dxa" w:w="110"/>
              <w:bottom w:type="dxa" w:w="70"/>
              <w:right w:type="dxa" w:w="110"/>
            </w:tcMar>
            <w:vAlign w:val="center"/>
          </w:tcPr>
          <w:p>
            <w:pPr>
              <w:spacing w:after="0" w:before="0" w:line="276" w:lineRule="auto"/>
            </w:pPr>
            <w:r>
              <w:rPr>
                <w:sz w:val="16"/>
                <w:szCs w:val="16"/>
              </w:rPr>
              <w:t xml:space="preserve">BIA_P01_Inventario_Procesos</w:t>
            </w:r>
          </w:p>
        </w:tc>
        <w:tc>
          <w:tcPr>
            <w:tcW w:type="dxa" w:w="1300"/>
            <w:tcMar>
              <w:top w:type="dxa" w:w="70"/>
              <w:left w:type="dxa" w:w="110"/>
              <w:bottom w:type="dxa" w:w="70"/>
              <w:right w:type="dxa" w:w="110"/>
            </w:tcMar>
            <w:vAlign w:val="center"/>
          </w:tcPr>
          <w:p>
            <w:pPr>
              <w:spacing w:after="0" w:before="0" w:line="276" w:lineRule="auto"/>
            </w:pPr>
            <w:r>
              <w:rPr>
                <w:sz w:val="16"/>
                <w:szCs w:val="16"/>
              </w:rPr>
              <w:t xml:space="preserve">1–2</w:t>
            </w:r>
          </w:p>
        </w:tc>
        <w:tc>
          <w:tcPr>
            <w:tcW w:type="dxa" w:w="5336"/>
            <w:tcMar>
              <w:top w:type="dxa" w:w="70"/>
              <w:left w:type="dxa" w:w="110"/>
              <w:bottom w:type="dxa" w:w="70"/>
              <w:right w:type="dxa" w:w="110"/>
            </w:tcMar>
            <w:vAlign w:val="center"/>
          </w:tcPr>
          <w:p>
            <w:pPr>
              <w:spacing w:after="0" w:before="0" w:line="276" w:lineRule="auto"/>
            </w:pPr>
            <w:r>
              <w:rPr>
                <w:sz w:val="16"/>
                <w:szCs w:val="16"/>
              </w:rPr>
              <w:t xml:space="preserve">El censo de procesos del alcance de E.02: nombre, área, dueño, servicio, quién lo recibe, sistemas y ventana de operación; método de levantamiento usado.</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6"/>
                <w:szCs w:val="16"/>
              </w:rPr>
              <w:t xml:space="preserve">BIA_P02_Ficha_BIA_Proceso</w:t>
            </w:r>
          </w:p>
        </w:tc>
        <w:tc>
          <w:tcPr>
            <w:tcW w:type="dxa" w:w="1300"/>
            <w:shd w:fill="F2F7FB" w:val="clear"/>
            <w:tcMar>
              <w:top w:type="dxa" w:w="70"/>
              <w:left w:type="dxa" w:w="110"/>
              <w:bottom w:type="dxa" w:w="70"/>
              <w:right w:type="dxa" w:w="110"/>
            </w:tcMar>
            <w:vAlign w:val="center"/>
          </w:tcPr>
          <w:p>
            <w:pPr>
              <w:spacing w:after="0" w:before="0" w:line="276" w:lineRule="auto"/>
            </w:pPr>
            <w:r>
              <w:rPr>
                <w:sz w:val="16"/>
                <w:szCs w:val="16"/>
              </w:rPr>
              <w:t xml:space="preserve">3–5</w:t>
            </w:r>
          </w:p>
        </w:tc>
        <w:tc>
          <w:tcPr>
            <w:tcW w:type="dxa" w:w="5336"/>
            <w:shd w:fill="F2F7FB" w:val="clear"/>
            <w:tcMar>
              <w:top w:type="dxa" w:w="70"/>
              <w:left w:type="dxa" w:w="110"/>
              <w:bottom w:type="dxa" w:w="70"/>
              <w:right w:type="dxa" w:w="110"/>
            </w:tcMar>
            <w:vAlign w:val="center"/>
          </w:tcPr>
          <w:p>
            <w:pPr>
              <w:spacing w:after="0" w:before="0" w:line="276" w:lineRule="auto"/>
            </w:pPr>
            <w:r>
              <w:rPr>
                <w:sz w:val="16"/>
                <w:szCs w:val="16"/>
              </w:rPr>
              <w:t xml:space="preserve">Una ficha por proceso crítico de la precalificación, y sus secciones 3, 8 y 9 para el proceso importante con los datos personales de la ficha: MTPD, RTO, WRT, RPO, MBCO con la comprobación; impacto por categoría y corte; estacionalidad; procedimiento alterno y duración máxima sostenible.</w:t>
            </w:r>
          </w:p>
        </w:tc>
      </w:tr>
      <w:tr>
        <w:trPr>
          <w:cantSplit/>
        </w:trPr>
        <w:tc>
          <w:tcPr>
            <w:tcW w:type="dxa" w:w="3300"/>
            <w:tcMar>
              <w:top w:type="dxa" w:w="70"/>
              <w:left w:type="dxa" w:w="110"/>
              <w:bottom w:type="dxa" w:w="70"/>
              <w:right w:type="dxa" w:w="110"/>
            </w:tcMar>
            <w:vAlign w:val="center"/>
          </w:tcPr>
          <w:p>
            <w:pPr>
              <w:spacing w:after="0" w:before="0" w:line="276" w:lineRule="auto"/>
            </w:pPr>
            <w:r>
              <w:rPr>
                <w:sz w:val="16"/>
                <w:szCs w:val="16"/>
              </w:rPr>
              <w:t xml:space="preserve">BIA_P03_Matriz_Impacto_Tiempo</w:t>
            </w:r>
          </w:p>
        </w:tc>
        <w:tc>
          <w:tcPr>
            <w:tcW w:type="dxa" w:w="1300"/>
            <w:tcMar>
              <w:top w:type="dxa" w:w="70"/>
              <w:left w:type="dxa" w:w="110"/>
              <w:bottom w:type="dxa" w:w="70"/>
              <w:right w:type="dxa" w:w="110"/>
            </w:tcMar>
            <w:vAlign w:val="center"/>
          </w:tcPr>
          <w:p>
            <w:pPr>
              <w:spacing w:after="0" w:before="0" w:line="276" w:lineRule="auto"/>
            </w:pPr>
            <w:r>
              <w:rPr>
                <w:sz w:val="16"/>
                <w:szCs w:val="16"/>
              </w:rPr>
              <w:t xml:space="preserve">4</w:t>
            </w:r>
          </w:p>
        </w:tc>
        <w:tc>
          <w:tcPr>
            <w:tcW w:type="dxa" w:w="5336"/>
            <w:tcMar>
              <w:top w:type="dxa" w:w="70"/>
              <w:left w:type="dxa" w:w="110"/>
              <w:bottom w:type="dxa" w:w="70"/>
              <w:right w:type="dxa" w:w="110"/>
            </w:tcMar>
            <w:vAlign w:val="center"/>
          </w:tcPr>
          <w:p>
            <w:pPr>
              <w:spacing w:after="0" w:before="0" w:line="276" w:lineRule="auto"/>
            </w:pPr>
            <w:r>
              <w:rPr>
                <w:sz w:val="16"/>
                <w:szCs w:val="16"/>
              </w:rPr>
              <w:t xml:space="preserve">Por proceso crítico, la matriz de impacto (cinco categorías × cinco cortes) y el umbral de tolerancia que deriva el MTPD.</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6"/>
                <w:szCs w:val="16"/>
              </w:rPr>
              <w:t xml:space="preserve">BIA_P04_Mapa_Dependencias_Recursos</w:t>
            </w:r>
          </w:p>
        </w:tc>
        <w:tc>
          <w:tcPr>
            <w:tcW w:type="dxa" w:w="1300"/>
            <w:shd w:fill="F2F7FB" w:val="clear"/>
            <w:tcMar>
              <w:top w:type="dxa" w:w="70"/>
              <w:left w:type="dxa" w:w="110"/>
              <w:bottom w:type="dxa" w:w="70"/>
              <w:right w:type="dxa" w:w="110"/>
            </w:tcMar>
            <w:vAlign w:val="center"/>
          </w:tcPr>
          <w:p>
            <w:pPr>
              <w:spacing w:after="0" w:before="0" w:line="276" w:lineRule="auto"/>
            </w:pPr>
            <w:r>
              <w:rPr>
                <w:sz w:val="16"/>
                <w:szCs w:val="16"/>
              </w:rPr>
              <w:t xml:space="preserve">6</w:t>
            </w:r>
          </w:p>
        </w:tc>
        <w:tc>
          <w:tcPr>
            <w:tcW w:type="dxa" w:w="5336"/>
            <w:shd w:fill="F2F7FB" w:val="clear"/>
            <w:tcMar>
              <w:top w:type="dxa" w:w="70"/>
              <w:left w:type="dxa" w:w="110"/>
              <w:bottom w:type="dxa" w:w="70"/>
              <w:right w:type="dxa" w:w="110"/>
            </w:tcMar>
            <w:vAlign w:val="center"/>
          </w:tcPr>
          <w:p>
            <w:pPr>
              <w:spacing w:after="0" w:before="0" w:line="276" w:lineRule="auto"/>
            </w:pPr>
            <w:r>
              <w:rPr>
                <w:sz w:val="16"/>
                <w:szCs w:val="16"/>
              </w:rPr>
              <w:t xml:space="preserve">Por proceso crítico, las seis clases de dependencia, el recurso mínimo de recuperación al nivel del MBCO y las interdependencias entre procesos.</w:t>
            </w:r>
          </w:p>
        </w:tc>
      </w:tr>
      <w:tr>
        <w:trPr>
          <w:cantSplit/>
        </w:trPr>
        <w:tc>
          <w:tcPr>
            <w:tcW w:type="dxa" w:w="3300"/>
            <w:tcMar>
              <w:top w:type="dxa" w:w="70"/>
              <w:left w:type="dxa" w:w="110"/>
              <w:bottom w:type="dxa" w:w="70"/>
              <w:right w:type="dxa" w:w="110"/>
            </w:tcMar>
            <w:vAlign w:val="center"/>
          </w:tcPr>
          <w:p>
            <w:pPr>
              <w:spacing w:after="0" w:before="0" w:line="276" w:lineRule="auto"/>
            </w:pPr>
            <w:r>
              <w:rPr>
                <w:sz w:val="16"/>
                <w:szCs w:val="16"/>
              </w:rPr>
              <w:t xml:space="preserve">BIA_P05_Matriz_Criticidad_Priorizacion</w:t>
            </w:r>
          </w:p>
        </w:tc>
        <w:tc>
          <w:tcPr>
            <w:tcW w:type="dxa" w:w="1300"/>
            <w:tcMar>
              <w:top w:type="dxa" w:w="70"/>
              <w:left w:type="dxa" w:w="110"/>
              <w:bottom w:type="dxa" w:w="70"/>
              <w:right w:type="dxa" w:w="110"/>
            </w:tcMar>
            <w:vAlign w:val="center"/>
          </w:tcPr>
          <w:p>
            <w:pPr>
              <w:spacing w:after="0" w:before="0" w:line="276" w:lineRule="auto"/>
            </w:pPr>
            <w:r>
              <w:rPr>
                <w:sz w:val="16"/>
                <w:szCs w:val="16"/>
              </w:rPr>
              <w:t xml:space="preserve">7</w:t>
            </w:r>
          </w:p>
        </w:tc>
        <w:tc>
          <w:tcPr>
            <w:tcW w:type="dxa" w:w="5336"/>
            <w:tcMar>
              <w:top w:type="dxa" w:w="70"/>
              <w:left w:type="dxa" w:w="110"/>
              <w:bottom w:type="dxa" w:w="70"/>
              <w:right w:type="dxa" w:w="110"/>
            </w:tcMar>
            <w:vAlign w:val="center"/>
          </w:tcPr>
          <w:p>
            <w:pPr>
              <w:spacing w:after="0" w:before="0" w:line="276" w:lineRule="auto"/>
            </w:pPr>
            <w:r>
              <w:rPr>
                <w:sz w:val="16"/>
                <w:szCs w:val="16"/>
              </w:rPr>
              <w:t xml:space="preserve">La precalificación de todo el censo en el corte de 24 horas, los pesos por categoría acordados con la dirección, el puntaje de criticidad y la lista única ordenada.</w:t>
            </w:r>
          </w:p>
        </w:tc>
      </w:tr>
      <w:tr>
        <w:trPr>
          <w:cantSplit/>
        </w:trPr>
        <w:tc>
          <w:tcPr>
            <w:tcW w:type="dxa" w:w="3300"/>
            <w:shd w:fill="F2F7FB" w:val="clear"/>
            <w:tcMar>
              <w:top w:type="dxa" w:w="70"/>
              <w:left w:type="dxa" w:w="110"/>
              <w:bottom w:type="dxa" w:w="70"/>
              <w:right w:type="dxa" w:w="110"/>
            </w:tcMar>
            <w:vAlign w:val="center"/>
          </w:tcPr>
          <w:p>
            <w:pPr>
              <w:spacing w:after="0" w:before="0" w:line="276" w:lineRule="auto"/>
            </w:pPr>
            <w:r>
              <w:rPr>
                <w:sz w:val="16"/>
                <w:szCs w:val="16"/>
              </w:rPr>
              <w:t xml:space="preserve">BIA_P06_Registro_Supuestos_SPOF_Brechas</w:t>
            </w:r>
          </w:p>
        </w:tc>
        <w:tc>
          <w:tcPr>
            <w:tcW w:type="dxa" w:w="1300"/>
            <w:shd w:fill="F2F7FB" w:val="clear"/>
            <w:tcMar>
              <w:top w:type="dxa" w:w="70"/>
              <w:left w:type="dxa" w:w="110"/>
              <w:bottom w:type="dxa" w:w="70"/>
              <w:right w:type="dxa" w:w="110"/>
            </w:tcMar>
            <w:vAlign w:val="center"/>
          </w:tcPr>
          <w:p>
            <w:pPr>
              <w:spacing w:after="0" w:before="0" w:line="276" w:lineRule="auto"/>
            </w:pPr>
            <w:r>
              <w:rPr>
                <w:sz w:val="16"/>
                <w:szCs w:val="16"/>
              </w:rPr>
              <w:t xml:space="preserve">6, 11, 12</w:t>
            </w:r>
          </w:p>
        </w:tc>
        <w:tc>
          <w:tcPr>
            <w:tcW w:type="dxa" w:w="5336"/>
            <w:shd w:fill="F2F7FB" w:val="clear"/>
            <w:tcMar>
              <w:top w:type="dxa" w:w="70"/>
              <w:left w:type="dxa" w:w="110"/>
              <w:bottom w:type="dxa" w:w="70"/>
              <w:right w:type="dxa" w:w="110"/>
            </w:tcMar>
            <w:vAlign w:val="center"/>
          </w:tcPr>
          <w:p>
            <w:pPr>
              <w:spacing w:after="0" w:before="0" w:line="276" w:lineRule="auto"/>
            </w:pPr>
            <w:r>
              <w:rPr>
                <w:sz w:val="16"/>
                <w:szCs w:val="16"/>
              </w:rPr>
              <w:t xml:space="preserve">Los supuestos con origen y fecha, los supuestos y límites del método de valoración (el método se declara en la sección 10 de BIA_P02), los puntos únicos de falla, las brechas y los tres escenarios de sensibilidad.</w:t>
            </w:r>
          </w:p>
        </w:tc>
      </w:tr>
      <w:tr>
        <w:trPr>
          <w:cantSplit/>
        </w:trPr>
        <w:tc>
          <w:tcPr>
            <w:tcW w:type="dxa" w:w="3300"/>
            <w:tcMar>
              <w:top w:type="dxa" w:w="70"/>
              <w:left w:type="dxa" w:w="110"/>
              <w:bottom w:type="dxa" w:w="70"/>
              <w:right w:type="dxa" w:w="110"/>
            </w:tcMar>
            <w:vAlign w:val="center"/>
          </w:tcPr>
          <w:p>
            <w:pPr>
              <w:spacing w:after="0" w:before="0" w:line="276" w:lineRule="auto"/>
            </w:pPr>
            <w:r>
              <w:rPr>
                <w:sz w:val="16"/>
                <w:szCs w:val="16"/>
              </w:rPr>
              <w:t xml:space="preserve">BIA_P07_Informe_Ejecutivo</w:t>
            </w:r>
          </w:p>
        </w:tc>
        <w:tc>
          <w:tcPr>
            <w:tcW w:type="dxa" w:w="1300"/>
            <w:tcMar>
              <w:top w:type="dxa" w:w="70"/>
              <w:left w:type="dxa" w:w="110"/>
              <w:bottom w:type="dxa" w:w="70"/>
              <w:right w:type="dxa" w:w="110"/>
            </w:tcMar>
            <w:vAlign w:val="center"/>
          </w:tcPr>
          <w:p>
            <w:pPr>
              <w:spacing w:after="0" w:before="0" w:line="276" w:lineRule="auto"/>
            </w:pPr>
            <w:r>
              <w:rPr>
                <w:sz w:val="16"/>
                <w:szCs w:val="16"/>
              </w:rPr>
              <w:t xml:space="preserve">8, 13</w:t>
            </w:r>
          </w:p>
        </w:tc>
        <w:tc>
          <w:tcPr>
            <w:tcW w:type="dxa" w:w="5336"/>
            <w:tcMar>
              <w:top w:type="dxa" w:w="70"/>
              <w:left w:type="dxa" w:w="110"/>
              <w:bottom w:type="dxa" w:w="70"/>
              <w:right w:type="dxa" w:w="110"/>
            </w:tcMar>
            <w:vAlign w:val="center"/>
          </w:tcPr>
          <w:p>
            <w:pPr>
              <w:spacing w:after="0" w:before="0" w:line="276" w:lineRule="auto"/>
            </w:pPr>
            <w:r>
              <w:rPr>
                <w:sz w:val="16"/>
                <w:szCs w:val="16"/>
              </w:rPr>
              <w:t xml:space="preserve">Las nueve secciones del informe: resumen ejecutivo, alcance y método, procesos priorizados, costo de la indisponibilidad, puntos únicos de falla y brechas, frontera con el análisis de riesgos, justificación del control, análisis de sensibilidad, recomendaciones y aprobación.</w:t>
            </w:r>
          </w:p>
        </w:tc>
      </w:tr>
    </w:tbl>
    <w:p>
      <w:pPr>
        <w:pStyle w:val="Heading2"/>
      </w:pPr>
      <w:r>
        <w:t xml:space="preserve">B.1 Métricas de tiempo y criticidad (procesos ordenados por puntaje)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800"/>
        <w:gridCol w:w="650"/>
        <w:gridCol w:w="650"/>
        <w:gridCol w:w="700"/>
        <w:gridCol w:w="1736"/>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Dueño</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Puntaje de criticidad</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Clasificación</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MTPD (MTD)</w:t>
            </w:r>
          </w:p>
        </w:tc>
        <w:tc>
          <w:tcPr>
            <w:tcW w:type="dxa" w:w="65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RTO</w:t>
            </w:r>
          </w:p>
        </w:tc>
        <w:tc>
          <w:tcPr>
            <w:tcW w:type="dxa" w:w="65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WRT</w:t>
            </w:r>
          </w:p>
        </w:tc>
        <w:tc>
          <w:tcPr>
            <w:tcW w:type="dxa" w:w="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RPO</w:t>
            </w:r>
          </w:p>
        </w:tc>
        <w:tc>
          <w:tcPr>
            <w:tcW w:type="dxa" w:w="1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MBCO</w:t>
            </w:r>
          </w:p>
        </w:tc>
      </w:tr>
      <w:tr>
        <w:trPr>
          <w:cantSplit/>
        </w:trPr>
        <w:tc>
          <w:tcPr>
            <w:tcW w:type="dxa" w:w="2200"/>
            <w:tcMar>
              <w:top w:type="dxa" w:w="70"/>
              <w:left w:type="dxa" w:w="110"/>
              <w:bottom w:type="dxa" w:w="70"/>
              <w:right w:type="dxa" w:w="110"/>
            </w:tcMar>
            <w:vAlign w:val="center"/>
          </w:tcPr>
          <w:p>
            <w:pPr>
              <w:spacing w:after="0" w:before="0" w:line="276" w:lineRule="auto"/>
            </w:pPr>
            <w:r>
              <w:rPr>
                <w:sz w:val="15"/>
                <w:szCs w:val="15"/>
              </w:rPr>
              <w:t xml:space="preserve">(p. ej.) Gestión de expedientes clínicos electrónicos (EHR) — RHM</w:t>
            </w:r>
          </w:p>
        </w:tc>
        <w:tc>
          <w:tcPr>
            <w:tcW w:type="dxa" w:w="1200"/>
            <w:tcMar>
              <w:top w:type="dxa" w:w="70"/>
              <w:left w:type="dxa" w:w="110"/>
              <w:bottom w:type="dxa" w:w="70"/>
              <w:right w:type="dxa" w:w="110"/>
            </w:tcMar>
            <w:vAlign w:val="center"/>
          </w:tcPr>
          <w:p>
            <w:pPr>
              <w:spacing w:after="0" w:before="0" w:line="276" w:lineRule="auto"/>
            </w:pPr>
            <w:r>
              <w:rPr>
                <w:sz w:val="15"/>
                <w:szCs w:val="15"/>
              </w:rPr>
              <w:t xml:space="preserve">Dirección Médica</w:t>
            </w:r>
          </w:p>
        </w:tc>
        <w:tc>
          <w:tcPr>
            <w:tcW w:type="dxa" w:w="1000"/>
            <w:tcMar>
              <w:top w:type="dxa" w:w="70"/>
              <w:left w:type="dxa" w:w="110"/>
              <w:bottom w:type="dxa" w:w="70"/>
              <w:right w:type="dxa" w:w="110"/>
            </w:tcMar>
            <w:vAlign w:val="center"/>
          </w:tcPr>
          <w:p>
            <w:pPr>
              <w:spacing w:after="0" w:before="0" w:line="276" w:lineRule="auto"/>
            </w:pPr>
            <w:r>
              <w:rPr>
                <w:sz w:val="15"/>
                <w:szCs w:val="15"/>
              </w:rPr>
              <w:t xml:space="preserve">(de BIA_P05)</w:t>
            </w:r>
          </w:p>
        </w:tc>
        <w:tc>
          <w:tcPr>
            <w:tcW w:type="dxa" w:w="1000"/>
            <w:tcMar>
              <w:top w:type="dxa" w:w="70"/>
              <w:left w:type="dxa" w:w="110"/>
              <w:bottom w:type="dxa" w:w="70"/>
              <w:right w:type="dxa" w:w="110"/>
            </w:tcMar>
            <w:vAlign w:val="center"/>
          </w:tcPr>
          <w:p>
            <w:pPr>
              <w:spacing w:after="0" w:before="0" w:line="276" w:lineRule="auto"/>
            </w:pPr>
            <w:r>
              <w:rPr>
                <w:sz w:val="15"/>
                <w:szCs w:val="15"/>
              </w:rPr>
              <w:t xml:space="preserve">Crítico</w:t>
            </w:r>
          </w:p>
        </w:tc>
        <w:tc>
          <w:tcPr>
            <w:tcW w:type="dxa" w:w="800"/>
            <w:tcMar>
              <w:top w:type="dxa" w:w="70"/>
              <w:left w:type="dxa" w:w="110"/>
              <w:bottom w:type="dxa" w:w="70"/>
              <w:right w:type="dxa" w:w="110"/>
            </w:tcMar>
            <w:vAlign w:val="center"/>
          </w:tcPr>
          <w:p>
            <w:pPr>
              <w:spacing w:after="0" w:before="0" w:line="276" w:lineRule="auto"/>
            </w:pPr>
            <w:r>
              <w:rPr>
                <w:sz w:val="15"/>
                <w:szCs w:val="15"/>
              </w:rPr>
              <w:t xml:space="preserve">4 h</w:t>
            </w:r>
          </w:p>
        </w:tc>
        <w:tc>
          <w:tcPr>
            <w:tcW w:type="dxa" w:w="650"/>
            <w:tcMar>
              <w:top w:type="dxa" w:w="70"/>
              <w:left w:type="dxa" w:w="110"/>
              <w:bottom w:type="dxa" w:w="70"/>
              <w:right w:type="dxa" w:w="110"/>
            </w:tcMar>
            <w:vAlign w:val="center"/>
          </w:tcPr>
          <w:p>
            <w:pPr>
              <w:spacing w:after="0" w:before="0" w:line="276" w:lineRule="auto"/>
            </w:pPr>
            <w:r>
              <w:rPr>
                <w:sz w:val="15"/>
                <w:szCs w:val="15"/>
              </w:rPr>
              <w:t xml:space="preserve">2 h</w:t>
            </w:r>
          </w:p>
        </w:tc>
        <w:tc>
          <w:tcPr>
            <w:tcW w:type="dxa" w:w="650"/>
            <w:tcMar>
              <w:top w:type="dxa" w:w="70"/>
              <w:left w:type="dxa" w:w="110"/>
              <w:bottom w:type="dxa" w:w="70"/>
              <w:right w:type="dxa" w:w="110"/>
            </w:tcMar>
            <w:vAlign w:val="center"/>
          </w:tcPr>
          <w:p>
            <w:pPr>
              <w:spacing w:after="0" w:before="0" w:line="276" w:lineRule="auto"/>
            </w:pPr>
            <w:r>
              <w:rPr>
                <w:sz w:val="15"/>
                <w:szCs w:val="15"/>
              </w:rPr>
              <w:t xml:space="preserve">2 h</w:t>
            </w:r>
          </w:p>
        </w:tc>
        <w:tc>
          <w:tcPr>
            <w:tcW w:type="dxa" w:w="700"/>
            <w:tcMar>
              <w:top w:type="dxa" w:w="70"/>
              <w:left w:type="dxa" w:w="110"/>
              <w:bottom w:type="dxa" w:w="70"/>
              <w:right w:type="dxa" w:w="110"/>
            </w:tcMar>
            <w:vAlign w:val="center"/>
          </w:tcPr>
          <w:p>
            <w:pPr>
              <w:spacing w:after="0" w:before="0" w:line="276" w:lineRule="auto"/>
            </w:pPr>
            <w:r>
              <w:rPr>
                <w:sz w:val="15"/>
                <w:szCs w:val="15"/>
              </w:rPr>
              <w:t xml:space="preserve">15 min</w:t>
            </w:r>
          </w:p>
        </w:tc>
        <w:tc>
          <w:tcPr>
            <w:tcW w:type="dxa" w:w="1736"/>
            <w:tcMar>
              <w:top w:type="dxa" w:w="70"/>
              <w:left w:type="dxa" w:w="110"/>
              <w:bottom w:type="dxa" w:w="70"/>
              <w:right w:type="dxa" w:w="110"/>
            </w:tcMar>
            <w:vAlign w:val="center"/>
          </w:tcPr>
          <w:p>
            <w:pPr>
              <w:spacing w:after="0" w:before="0" w:line="276" w:lineRule="auto"/>
            </w:pPr>
            <w:r>
              <w:rPr>
                <w:sz w:val="15"/>
                <w:szCs w:val="15"/>
              </w:rPr>
              <w:t xml:space="preserve">Atender urgencias con registro en papel; sin cirugía programada</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2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0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0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8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5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5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7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73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bl>
    <w:p>
      <w:pPr>
        <w:spacing w:after="120" w:before="40" w:line="276" w:lineRule="auto"/>
      </w:pPr>
      <w:r>
        <w:t xml:space="preserve">Comprobación obligatoria en cada fila: RTO + WRT ≤ MTPD (2 + 2 = 4 ≤ 4 en el ejemplo). Clasificación: crítico / importante / diferible, según el puntaje de BIA_P05.</w:t>
      </w:r>
    </w:p>
    <w:p>
      <w:pPr>
        <w:pStyle w:val="Heading2"/>
      </w:pPr>
      <w:r>
        <w:t xml:space="preserve">B.2 Cuantificación (salida propia del BIA)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2300"/>
        <w:gridCol w:w="1000"/>
        <w:gridCol w:w="500"/>
        <w:gridCol w:w="1300"/>
        <w:gridCol w:w="1336"/>
      </w:tblGrid>
      <w:tr>
        <w:trPr>
          <w:tblHeader/>
        </w:trPr>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 · escenario (SLE-nn)</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por hora (USD)</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Costo por día (USD)</w:t>
            </w:r>
          </w:p>
        </w:tc>
        <w:tc>
          <w:tcPr>
            <w:tcW w:type="dxa" w:w="2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Componentes del costo por hora</w:t>
            </w:r>
          </w:p>
        </w:tc>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AV (USD)</w:t>
            </w:r>
          </w:p>
        </w:tc>
        <w:tc>
          <w:tcPr>
            <w:tcW w:type="dxa" w:w="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EF</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SLE = AV × EF (USD)</w:t>
            </w:r>
          </w:p>
        </w:tc>
        <w:tc>
          <w:tcPr>
            <w:tcW w:type="dxa" w:w="1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Método de valoración (BIA_P02 §10)</w:t>
            </w:r>
          </w:p>
        </w:tc>
      </w:tr>
      <w:tr>
        <w:trPr>
          <w:cantSplit/>
        </w:trPr>
        <w:tc>
          <w:tcPr>
            <w:tcW w:type="dxa" w:w="1500"/>
            <w:tcMar>
              <w:top w:type="dxa" w:w="70"/>
              <w:left w:type="dxa" w:w="110"/>
              <w:bottom w:type="dxa" w:w="70"/>
              <w:right w:type="dxa" w:w="110"/>
            </w:tcMar>
            <w:vAlign w:val="center"/>
          </w:tcPr>
          <w:p>
            <w:pPr>
              <w:spacing w:after="0" w:before="0" w:line="276" w:lineRule="auto"/>
            </w:pPr>
            <w:r>
              <w:rPr>
                <w:sz w:val="14"/>
                <w:szCs w:val="14"/>
              </w:rPr>
              <w:t xml:space="preserve">(p. ej.) EHR — RHM · cifrado del expediente clínico (SLE-01)</w:t>
            </w:r>
          </w:p>
        </w:tc>
        <w:tc>
          <w:tcPr>
            <w:tcW w:type="dxa" w:w="1000"/>
            <w:tcMar>
              <w:top w:type="dxa" w:w="70"/>
              <w:left w:type="dxa" w:w="110"/>
              <w:bottom w:type="dxa" w:w="70"/>
              <w:right w:type="dxa" w:w="110"/>
            </w:tcMar>
            <w:vAlign w:val="center"/>
          </w:tcPr>
          <w:p>
            <w:pPr>
              <w:spacing w:after="0" w:before="0" w:line="276" w:lineRule="auto"/>
            </w:pPr>
            <w:r>
              <w:rPr>
                <w:sz w:val="14"/>
                <w:szCs w:val="14"/>
              </w:rPr>
              <w:t xml:space="preserve">12 000</w:t>
            </w:r>
          </w:p>
        </w:tc>
        <w:tc>
          <w:tcPr>
            <w:tcW w:type="dxa" w:w="1000"/>
            <w:tcMar>
              <w:top w:type="dxa" w:w="70"/>
              <w:left w:type="dxa" w:w="110"/>
              <w:bottom w:type="dxa" w:w="70"/>
              <w:right w:type="dxa" w:w="110"/>
            </w:tcMar>
            <w:vAlign w:val="center"/>
          </w:tcPr>
          <w:p>
            <w:pPr>
              <w:spacing w:after="0" w:before="0" w:line="276" w:lineRule="auto"/>
            </w:pPr>
            <w:r>
              <w:rPr>
                <w:sz w:val="14"/>
                <w:szCs w:val="14"/>
              </w:rPr>
              <w:t xml:space="preserve">288 000</w:t>
            </w:r>
          </w:p>
        </w:tc>
        <w:tc>
          <w:tcPr>
            <w:tcW w:type="dxa" w:w="2300"/>
            <w:tcMar>
              <w:top w:type="dxa" w:w="70"/>
              <w:left w:type="dxa" w:w="110"/>
              <w:bottom w:type="dxa" w:w="70"/>
              <w:right w:type="dxa" w:w="110"/>
            </w:tcMar>
            <w:vAlign w:val="center"/>
          </w:tcPr>
          <w:p>
            <w:pPr>
              <w:spacing w:after="0" w:before="0" w:line="276" w:lineRule="auto"/>
            </w:pPr>
            <w:r>
              <w:rPr>
                <w:sz w:val="14"/>
                <w:szCs w:val="14"/>
              </w:rPr>
              <w:t xml:space="preserve">Cirugías programadas canceladas, personal improductivo, penalizaciones contractuales, costo del procedimiento alterno</w:t>
            </w:r>
          </w:p>
        </w:tc>
        <w:tc>
          <w:tcPr>
            <w:tcW w:type="dxa" w:w="1000"/>
            <w:tcMar>
              <w:top w:type="dxa" w:w="70"/>
              <w:left w:type="dxa" w:w="110"/>
              <w:bottom w:type="dxa" w:w="70"/>
              <w:right w:type="dxa" w:w="110"/>
            </w:tcMar>
            <w:vAlign w:val="center"/>
          </w:tcPr>
          <w:p>
            <w:pPr>
              <w:spacing w:after="0" w:before="0" w:line="276" w:lineRule="auto"/>
            </w:pPr>
            <w:r>
              <w:rPr>
                <w:sz w:val="14"/>
                <w:szCs w:val="14"/>
              </w:rPr>
              <w:t xml:space="preserve">800 000</w:t>
            </w:r>
          </w:p>
        </w:tc>
        <w:tc>
          <w:tcPr>
            <w:tcW w:type="dxa" w:w="500"/>
            <w:tcMar>
              <w:top w:type="dxa" w:w="70"/>
              <w:left w:type="dxa" w:w="110"/>
              <w:bottom w:type="dxa" w:w="70"/>
              <w:right w:type="dxa" w:w="110"/>
            </w:tcMar>
            <w:vAlign w:val="center"/>
          </w:tcPr>
          <w:p>
            <w:pPr>
              <w:spacing w:after="0" w:before="0" w:line="276" w:lineRule="auto"/>
            </w:pPr>
            <w:r>
              <w:rPr>
                <w:sz w:val="14"/>
                <w:szCs w:val="14"/>
              </w:rPr>
              <w:t xml:space="preserve">0,5</w:t>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400 000</w:t>
            </w:r>
          </w:p>
        </w:tc>
        <w:tc>
          <w:tcPr>
            <w:tcW w:type="dxa" w:w="1336"/>
            <w:tcMar>
              <w:top w:type="dxa" w:w="70"/>
              <w:left w:type="dxa" w:w="110"/>
              <w:bottom w:type="dxa" w:w="70"/>
              <w:right w:type="dxa" w:w="110"/>
            </w:tcMar>
            <w:vAlign w:val="center"/>
          </w:tcPr>
          <w:p>
            <w:pPr>
              <w:spacing w:after="0" w:before="0" w:line="276" w:lineRule="auto"/>
            </w:pPr>
            <w:r>
              <w:rPr>
                <w:sz w:val="14"/>
                <w:szCs w:val="14"/>
              </w:rPr>
              <w:t xml:space="preserve">Cuantitativo con supuestos declarados</w:t>
            </w:r>
          </w:p>
        </w:tc>
      </w:tr>
      <w:tr>
        <w:trPr>
          <w:cantSplit/>
        </w:trPr>
        <w:tc>
          <w:tcPr>
            <w:tcW w:type="dxa" w:w="15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0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0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23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0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5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336"/>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r>
    </w:tbl>
    <w:p>
      <w:pPr>
        <w:spacing w:after="120" w:before="40" w:line="276" w:lineRule="auto"/>
      </w:pPr>
      <w:r>
        <w:t xml:space="preserve">El SLE se calcula para cada proceso crítico y para cada proceso importante que trata los datos personales que cuantifica la ficha de datos del cliente. En estos últimos el escenario es la exposición de los datos: AV = número de titulares de la ficha × costo de notificar a un titular de la ficha, más los otros costos por titular que la ficha cuantifica, y EF = proporción de titulares expuestos. Un mismo proceso admite una fila por escenario (cifrado o indisponibilidad, exposición de datos, fraude, sabotaje de la operación), cada una con su identificador SLE-nn, que E.05 cita en la tabla D.6. El método de valoración se declara en la sección 10 de BIA_P02, y BIA_P06 registra solo sus supuestos.</w:t>
      </w:r>
    </w:p>
    <w:p>
      <w:pPr>
        <w:spacing w:after="120" w:before="40" w:line="276" w:lineRule="auto"/>
      </w:pPr>
      <w:r>
        <w:t xml:space="preserve">Aquí termina el BIA. La tasa anualizada de ocurrencia (ARO), la pérdida anual esperada (ALE = SLE × ARO), la justificación del control en cinco pasos, el ACC y el ROSI se calculan en E.05 (tabla D.6) con estos valores de SLE como insumo.</w:t>
      </w:r>
    </w:p>
    <w:p>
      <w:pPr>
        <w:pStyle w:val="Heading2"/>
      </w:pPr>
      <w:r>
        <w:t xml:space="preserve">B.3 Estacionalidad y procedimientos alternos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600"/>
        <w:gridCol w:w="2636"/>
      </w:tblGrid>
      <w:tr>
        <w:trPr>
          <w:tblHeader/>
        </w:trPr>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Períodos pico</w:t>
            </w:r>
          </w:p>
        </w:tc>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Procedimiento alterno</w:t>
            </w:r>
          </w:p>
        </w:tc>
        <w:tc>
          <w:tcPr>
            <w:tcW w:type="dxa" w:w="1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Duración máxima sostenible</w:t>
            </w:r>
          </w:p>
        </w:tc>
        <w:tc>
          <w:tcPr>
            <w:tcW w:type="dxa" w:w="26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Recurso mínimo de recuperación (MBCO)</w:t>
            </w:r>
          </w:p>
        </w:tc>
      </w:tr>
      <w:tr>
        <w:trPr>
          <w:cantSplit/>
        </w:trPr>
        <w:tc>
          <w:tcPr>
            <w:tcW w:type="dxa" w:w="1500"/>
            <w:tcMar>
              <w:top w:type="dxa" w:w="70"/>
              <w:left w:type="dxa" w:w="110"/>
              <w:bottom w:type="dxa" w:w="70"/>
              <w:right w:type="dxa" w:w="110"/>
            </w:tcMar>
            <w:vAlign w:val="center"/>
          </w:tcPr>
          <w:p>
            <w:pPr>
              <w:spacing w:after="0" w:before="0" w:line="276" w:lineRule="auto"/>
            </w:pPr>
            <w:r>
              <w:rPr>
                <w:sz w:val="15"/>
                <w:szCs w:val="15"/>
              </w:rPr>
              <w:t xml:space="preserve">(p. ej.) EHR — RHM</w:t>
            </w:r>
          </w:p>
        </w:tc>
        <w:tc>
          <w:tcPr>
            <w:tcW w:type="dxa" w:w="2000"/>
            <w:tcMar>
              <w:top w:type="dxa" w:w="70"/>
              <w:left w:type="dxa" w:w="110"/>
              <w:bottom w:type="dxa" w:w="70"/>
              <w:right w:type="dxa" w:w="110"/>
            </w:tcMar>
            <w:vAlign w:val="center"/>
          </w:tcPr>
          <w:p>
            <w:pPr>
              <w:spacing w:after="0" w:before="0" w:line="276" w:lineRule="auto"/>
            </w:pPr>
            <w:r>
              <w:rPr>
                <w:sz w:val="15"/>
                <w:szCs w:val="15"/>
              </w:rPr>
              <w:t xml:space="preserve">Brotes estacionales; fines de semana con urgencias</w:t>
            </w:r>
          </w:p>
        </w:tc>
        <w:tc>
          <w:tcPr>
            <w:tcW w:type="dxa" w:w="2200"/>
            <w:tcMar>
              <w:top w:type="dxa" w:w="70"/>
              <w:left w:type="dxa" w:w="110"/>
              <w:bottom w:type="dxa" w:w="70"/>
              <w:right w:type="dxa" w:w="110"/>
            </w:tcMar>
            <w:vAlign w:val="center"/>
          </w:tcPr>
          <w:p>
            <w:pPr>
              <w:spacing w:after="0" w:before="0" w:line="276" w:lineRule="auto"/>
            </w:pPr>
            <w:r>
              <w:rPr>
                <w:sz w:val="15"/>
                <w:szCs w:val="15"/>
              </w:rPr>
              <w:t xml:space="preserve">Registro clínico en papel y reintroducción posterior</w:t>
            </w:r>
          </w:p>
        </w:tc>
        <w:tc>
          <w:tcPr>
            <w:tcW w:type="dxa" w:w="1600"/>
            <w:tcMar>
              <w:top w:type="dxa" w:w="70"/>
              <w:left w:type="dxa" w:w="110"/>
              <w:bottom w:type="dxa" w:w="70"/>
              <w:right w:type="dxa" w:w="110"/>
            </w:tcMar>
            <w:vAlign w:val="center"/>
          </w:tcPr>
          <w:p>
            <w:pPr>
              <w:spacing w:after="0" w:before="0" w:line="276" w:lineRule="auto"/>
            </w:pPr>
            <w:r>
              <w:rPr>
                <w:sz w:val="15"/>
                <w:szCs w:val="15"/>
              </w:rPr>
              <w:t xml:space="preserve">8 h</w:t>
            </w:r>
          </w:p>
        </w:tc>
        <w:tc>
          <w:tcPr>
            <w:tcW w:type="dxa" w:w="2636"/>
            <w:tcMar>
              <w:top w:type="dxa" w:w="70"/>
              <w:left w:type="dxa" w:w="110"/>
              <w:bottom w:type="dxa" w:w="70"/>
              <w:right w:type="dxa" w:w="110"/>
            </w:tcMar>
            <w:vAlign w:val="center"/>
          </w:tcPr>
          <w:p>
            <w:pPr>
              <w:spacing w:after="0" w:before="0" w:line="276" w:lineRule="auto"/>
            </w:pPr>
            <w:r>
              <w:rPr>
                <w:sz w:val="15"/>
                <w:szCs w:val="15"/>
              </w:rPr>
              <w:t xml:space="preserve">Estaciones clínicas en urgencias, red médica y acceso al EHR de lectura</w:t>
            </w:r>
          </w:p>
        </w:tc>
      </w:tr>
      <w:tr>
        <w:trPr>
          <w:cantSplit/>
        </w:trPr>
        <w:tc>
          <w:tcPr>
            <w:tcW w:type="dxa" w:w="15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0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2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6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63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bl>
    <w:p>
      <w:pPr>
        <w:pStyle w:val="Heading2"/>
      </w:pPr>
      <w:r>
        <w:t xml:space="preserve">B.4 Puntos únicos de falla y brechas que pasan a la matriz de riesgos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600"/>
        <w:gridCol w:w="2536"/>
      </w:tblGrid>
      <w:tr>
        <w:trPr>
          <w:tblHeader/>
        </w:trPr>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w:t>
            </w:r>
          </w:p>
        </w:tc>
        <w:tc>
          <w:tcPr>
            <w:tcW w:type="dxa" w:w="2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Clase de dependencia</w:t>
            </w:r>
          </w:p>
        </w:tc>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Punto único de falla o brecha (de BIA_P06)</w:t>
            </w:r>
          </w:p>
        </w:tc>
        <w:tc>
          <w:tcPr>
            <w:tcW w:type="dxa" w:w="25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Se traslada a E.05 como (ID en la versión 1.1)</w:t>
            </w:r>
          </w:p>
        </w:tc>
      </w:tr>
      <w:tr>
        <w:trPr>
          <w:cantSplit/>
        </w:trPr>
        <w:tc>
          <w:tcPr>
            <w:tcW w:type="dxa" w:w="1500"/>
            <w:tcMar>
              <w:top w:type="dxa" w:w="70"/>
              <w:left w:type="dxa" w:w="110"/>
              <w:bottom w:type="dxa" w:w="70"/>
              <w:right w:type="dxa" w:w="110"/>
            </w:tcMar>
            <w:vAlign w:val="center"/>
          </w:tcPr>
          <w:p>
            <w:pPr>
              <w:spacing w:after="0" w:before="0" w:line="276" w:lineRule="auto"/>
            </w:pPr>
            <w:r>
              <w:rPr>
                <w:sz w:val="15"/>
                <w:szCs w:val="15"/>
              </w:rPr>
              <w:t xml:space="preserve">(p. ej.) EHR — RHM</w:t>
            </w:r>
          </w:p>
        </w:tc>
        <w:tc>
          <w:tcPr>
            <w:tcW w:type="dxa" w:w="2300"/>
            <w:tcMar>
              <w:top w:type="dxa" w:w="70"/>
              <w:left w:type="dxa" w:w="110"/>
              <w:bottom w:type="dxa" w:w="70"/>
              <w:right w:type="dxa" w:w="110"/>
            </w:tcMar>
            <w:vAlign w:val="center"/>
          </w:tcPr>
          <w:p>
            <w:pPr>
              <w:spacing w:after="0" w:before="0" w:line="276" w:lineRule="auto"/>
            </w:pPr>
            <w:r>
              <w:rPr>
                <w:sz w:val="15"/>
                <w:szCs w:val="15"/>
              </w:rPr>
              <w:t xml:space="preserve">Aplicaciones y sistemas · Instalaciones</w:t>
            </w:r>
          </w:p>
        </w:tc>
        <w:tc>
          <w:tcPr>
            <w:tcW w:type="dxa" w:w="3600"/>
            <w:tcMar>
              <w:top w:type="dxa" w:w="70"/>
              <w:left w:type="dxa" w:w="110"/>
              <w:bottom w:type="dxa" w:w="70"/>
              <w:right w:type="dxa" w:w="110"/>
            </w:tcMar>
            <w:vAlign w:val="center"/>
          </w:tcPr>
          <w:p>
            <w:pPr>
              <w:spacing w:after="0" w:before="0" w:line="276" w:lineRule="auto"/>
            </w:pPr>
            <w:r>
              <w:rPr>
                <w:sz w:val="15"/>
                <w:szCs w:val="15"/>
              </w:rPr>
              <w:t xml:space="preserve">Segmentación laxa entre la red administrativa y la médica</w:t>
            </w:r>
          </w:p>
        </w:tc>
        <w:tc>
          <w:tcPr>
            <w:tcW w:type="dxa" w:w="2536"/>
            <w:tcMar>
              <w:top w:type="dxa" w:w="70"/>
              <w:left w:type="dxa" w:w="110"/>
              <w:bottom w:type="dxa" w:w="70"/>
              <w:right w:type="dxa" w:w="110"/>
            </w:tcMar>
            <w:vAlign w:val="center"/>
          </w:tcPr>
          <w:p>
            <w:pPr>
              <w:spacing w:after="0" w:before="0" w:line="276" w:lineRule="auto"/>
            </w:pPr>
            <w:r>
              <w:rPr>
                <w:sz w:val="15"/>
                <w:szCs w:val="15"/>
              </w:rPr>
              <w:t xml:space="preserve">Vulnerabilidad del riesgo R-01</w:t>
            </w:r>
          </w:p>
        </w:tc>
      </w:tr>
      <w:tr>
        <w:trPr>
          <w:cantSplit/>
        </w:trPr>
        <w:tc>
          <w:tcPr>
            <w:tcW w:type="dxa" w:w="1500"/>
            <w:shd w:fill="F2F7FB" w:val="clear"/>
            <w:tcMar>
              <w:top w:type="dxa" w:w="70"/>
              <w:left w:type="dxa" w:w="110"/>
              <w:bottom w:type="dxa" w:w="70"/>
              <w:right w:type="dxa" w:w="110"/>
            </w:tcMar>
            <w:vAlign w:val="center"/>
          </w:tcPr>
          <w:p>
            <w:pPr>
              <w:spacing w:after="0" w:before="0" w:line="276" w:lineRule="auto"/>
            </w:pPr>
            <w:r>
              <w:rPr>
                <w:sz w:val="15"/>
                <w:szCs w:val="15"/>
              </w:rPr>
              <w:t xml:space="preserve">(p. ej.) IoMT — RHM</w:t>
            </w:r>
          </w:p>
        </w:tc>
        <w:tc>
          <w:tcPr>
            <w:tcW w:type="dxa" w:w="2300"/>
            <w:shd w:fill="F2F7FB" w:val="clear"/>
            <w:tcMar>
              <w:top w:type="dxa" w:w="70"/>
              <w:left w:type="dxa" w:w="110"/>
              <w:bottom w:type="dxa" w:w="70"/>
              <w:right w:type="dxa" w:w="110"/>
            </w:tcMar>
            <w:vAlign w:val="center"/>
          </w:tcPr>
          <w:p>
            <w:pPr>
              <w:spacing w:after="0" w:before="0" w:line="276" w:lineRule="auto"/>
            </w:pPr>
            <w:r>
              <w:rPr>
                <w:sz w:val="15"/>
                <w:szCs w:val="15"/>
              </w:rPr>
              <w:t xml:space="preserve">Equipamiento y servicios básicos</w:t>
            </w:r>
          </w:p>
        </w:tc>
        <w:tc>
          <w:tcPr>
            <w:tcW w:type="dxa" w:w="3600"/>
            <w:shd w:fill="F2F7FB" w:val="clear"/>
            <w:tcMar>
              <w:top w:type="dxa" w:w="70"/>
              <w:left w:type="dxa" w:w="110"/>
              <w:bottom w:type="dxa" w:w="70"/>
              <w:right w:type="dxa" w:w="110"/>
            </w:tcMar>
            <w:vAlign w:val="center"/>
          </w:tcPr>
          <w:p>
            <w:pPr>
              <w:spacing w:after="0" w:before="0" w:line="276" w:lineRule="auto"/>
            </w:pPr>
            <w:r>
              <w:rPr>
                <w:sz w:val="15"/>
                <w:szCs w:val="15"/>
              </w:rPr>
              <w:t xml:space="preserve">Ausencia de inventario de dispositivos médicos conectados</w:t>
            </w:r>
          </w:p>
        </w:tc>
        <w:tc>
          <w:tcPr>
            <w:tcW w:type="dxa" w:w="2536"/>
            <w:shd w:fill="F2F7FB" w:val="clear"/>
            <w:tcMar>
              <w:top w:type="dxa" w:w="70"/>
              <w:left w:type="dxa" w:w="110"/>
              <w:bottom w:type="dxa" w:w="70"/>
              <w:right w:type="dxa" w:w="110"/>
            </w:tcMar>
            <w:vAlign w:val="center"/>
          </w:tcPr>
          <w:p>
            <w:pPr>
              <w:spacing w:after="0" w:before="0" w:line="276" w:lineRule="auto"/>
            </w:pPr>
            <w:r>
              <w:rPr>
                <w:sz w:val="15"/>
                <w:szCs w:val="15"/>
              </w:rPr>
              <w:t xml:space="preserve">Vulnerabilidad del riesgo R-02</w:t>
            </w:r>
          </w:p>
        </w:tc>
      </w:tr>
      <w:tr>
        <w:trPr>
          <w:cantSplit/>
        </w:trPr>
        <w:tc>
          <w:tcPr>
            <w:tcW w:type="dxa" w:w="15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3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36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536"/>
            <w:tcMar>
              <w:top w:type="dxa" w:w="70"/>
              <w:left w:type="dxa" w:w="110"/>
              <w:bottom w:type="dxa" w:w="70"/>
              <w:right w:type="dxa" w:w="110"/>
            </w:tcMar>
            <w:vAlign w:val="center"/>
          </w:tcPr>
          <w:p>
            <w:pPr>
              <w:spacing w:after="0" w:before="0" w:line="276" w:lineRule="auto"/>
            </w:pPr>
            <w:r>
              <w:rPr>
                <w:sz w:val="15"/>
                <w:szCs w:val="15"/>
              </w:rPr>
              <w:t xml:space="preserve">…</w:t>
            </w:r>
          </w:p>
        </w:tc>
      </w:tr>
    </w:tbl>
    <w:p>
      <w:pPr>
        <w:pStyle w:val="Heading2"/>
      </w:pPr>
      <w:r>
        <w:t xml:space="preserve">B.5 Supuestos y sensibilidad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1300"/>
        <w:gridCol w:w="1300"/>
        <w:gridCol w:w="2036"/>
      </w:tblGrid>
      <w:tr>
        <w:trPr>
          <w:tblHeader/>
        </w:trPr>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2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Origen y fecha</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Escenario mínimo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Escenario esperado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Escenario máximo</w:t>
            </w:r>
          </w:p>
        </w:tc>
        <w:tc>
          <w:tcPr>
            <w:tcW w:type="dxa" w:w="20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Variable que gobierna la conclusión</w:t>
            </w:r>
          </w:p>
        </w:tc>
      </w:tr>
      <w:tr>
        <w:trPr>
          <w:cantSplit/>
        </w:trPr>
        <w:tc>
          <w:tcPr>
            <w:tcW w:type="dxa" w:w="2000"/>
            <w:tcMar>
              <w:top w:type="dxa" w:w="70"/>
              <w:left w:type="dxa" w:w="110"/>
              <w:bottom w:type="dxa" w:w="70"/>
              <w:right w:type="dxa" w:w="110"/>
            </w:tcMar>
            <w:vAlign w:val="center"/>
          </w:tcPr>
          <w:p>
            <w:pPr>
              <w:spacing w:after="0" w:before="0" w:line="276" w:lineRule="auto"/>
            </w:pPr>
            <w:r>
              <w:rPr>
                <w:sz w:val="15"/>
                <w:szCs w:val="15"/>
              </w:rPr>
              <w:t xml:space="preserve">(p. ej.) AV del EHR</w:t>
            </w:r>
          </w:p>
        </w:tc>
        <w:tc>
          <w:tcPr>
            <w:tcW w:type="dxa" w:w="2000"/>
            <w:tcMar>
              <w:top w:type="dxa" w:w="70"/>
              <w:left w:type="dxa" w:w="110"/>
              <w:bottom w:type="dxa" w:w="70"/>
              <w:right w:type="dxa" w:w="110"/>
            </w:tcMar>
            <w:vAlign w:val="center"/>
          </w:tcPr>
          <w:p>
            <w:pPr>
              <w:spacing w:after="0" w:before="0" w:line="276" w:lineRule="auto"/>
            </w:pPr>
            <w:r>
              <w:rPr>
                <w:sz w:val="15"/>
                <w:szCs w:val="15"/>
              </w:rPr>
              <w:t xml:space="preserve">Entrevista con Dirección Médica, fecha</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600 000</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800 000</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1 000 000</w:t>
            </w:r>
          </w:p>
        </w:tc>
        <w:tc>
          <w:tcPr>
            <w:tcW w:type="dxa" w:w="2036"/>
            <w:tcMar>
              <w:top w:type="dxa" w:w="70"/>
              <w:left w:type="dxa" w:w="110"/>
              <w:bottom w:type="dxa" w:w="70"/>
              <w:right w:type="dxa" w:w="110"/>
            </w:tcMar>
            <w:vAlign w:val="center"/>
          </w:tcPr>
          <w:p>
            <w:pPr>
              <w:spacing w:after="0" w:before="0" w:line="276" w:lineRule="auto"/>
            </w:pPr>
            <w:r>
              <w:rPr>
                <w:sz w:val="15"/>
                <w:szCs w:val="15"/>
              </w:rPr>
              <w:t xml:space="preserve">Sí / No</w:t>
            </w:r>
          </w:p>
        </w:tc>
      </w:tr>
      <w:tr>
        <w:trPr>
          <w:cantSplit/>
        </w:trPr>
        <w:tc>
          <w:tcPr>
            <w:tcW w:type="dxa" w:w="2000"/>
            <w:shd w:fill="F2F7FB" w:val="clear"/>
            <w:tcMar>
              <w:top w:type="dxa" w:w="70"/>
              <w:left w:type="dxa" w:w="110"/>
              <w:bottom w:type="dxa" w:w="70"/>
              <w:right w:type="dxa" w:w="110"/>
            </w:tcMar>
            <w:vAlign w:val="center"/>
          </w:tcPr>
          <w:p>
            <w:pPr>
              <w:spacing w:after="0" w:before="0" w:line="276" w:lineRule="auto"/>
            </w:pPr>
            <w:r>
              <w:rPr>
                <w:sz w:val="15"/>
                <w:szCs w:val="15"/>
              </w:rPr>
              <w:t xml:space="preserve">(p. ej.) EF del escenario de cifrado</w:t>
            </w:r>
          </w:p>
        </w:tc>
        <w:tc>
          <w:tcPr>
            <w:tcW w:type="dxa" w:w="2000"/>
            <w:shd w:fill="F2F7FB" w:val="clear"/>
            <w:tcMar>
              <w:top w:type="dxa" w:w="70"/>
              <w:left w:type="dxa" w:w="110"/>
              <w:bottom w:type="dxa" w:w="70"/>
              <w:right w:type="dxa" w:w="110"/>
            </w:tcMar>
            <w:vAlign w:val="center"/>
          </w:tcPr>
          <w:p>
            <w:pPr>
              <w:spacing w:after="0" w:before="0" w:line="276" w:lineRule="auto"/>
            </w:pPr>
            <w:r>
              <w:rPr>
                <w:sz w:val="15"/>
                <w:szCs w:val="15"/>
              </w:rPr>
              <w:t xml:space="preserve">Supuesto del equipo</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0,4</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0,5</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0,6</w:t>
            </w:r>
          </w:p>
        </w:tc>
        <w:tc>
          <w:tcPr>
            <w:tcW w:type="dxa" w:w="2036"/>
            <w:shd w:fill="F2F7FB" w:val="clear"/>
            <w:tcMar>
              <w:top w:type="dxa" w:w="70"/>
              <w:left w:type="dxa" w:w="110"/>
              <w:bottom w:type="dxa" w:w="70"/>
              <w:right w:type="dxa" w:w="110"/>
            </w:tcMar>
            <w:vAlign w:val="center"/>
          </w:tcPr>
          <w:p>
            <w:pPr>
              <w:spacing w:after="0" w:before="0" w:line="276" w:lineRule="auto"/>
            </w:pPr>
            <w:r>
              <w:rPr>
                <w:sz w:val="15"/>
                <w:szCs w:val="15"/>
              </w:rPr>
              <w:t xml:space="preserve">Sí / No</w:t>
            </w:r>
          </w:p>
        </w:tc>
      </w:tr>
      <w:tr>
        <w:trPr>
          <w:cantSplit/>
        </w:trPr>
        <w:tc>
          <w:tcPr>
            <w:tcW w:type="dxa" w:w="2000"/>
            <w:tcMar>
              <w:top w:type="dxa" w:w="70"/>
              <w:left w:type="dxa" w:w="110"/>
              <w:bottom w:type="dxa" w:w="70"/>
              <w:right w:type="dxa" w:w="110"/>
            </w:tcMar>
            <w:vAlign w:val="center"/>
          </w:tcPr>
          <w:p>
            <w:pPr>
              <w:spacing w:after="0" w:before="0" w:line="276" w:lineRule="auto"/>
            </w:pPr>
            <w:r>
              <w:rPr>
                <w:sz w:val="15"/>
                <w:szCs w:val="15"/>
              </w:rPr>
              <w:t xml:space="preserve">(p. ej.) Costo por hora del EHR</w:t>
            </w:r>
          </w:p>
        </w:tc>
        <w:tc>
          <w:tcPr>
            <w:tcW w:type="dxa" w:w="2000"/>
            <w:tcMar>
              <w:top w:type="dxa" w:w="70"/>
              <w:left w:type="dxa" w:w="110"/>
              <w:bottom w:type="dxa" w:w="70"/>
              <w:right w:type="dxa" w:w="110"/>
            </w:tcMar>
            <w:vAlign w:val="center"/>
          </w:tcPr>
          <w:p>
            <w:pPr>
              <w:spacing w:after="0" w:before="0" w:line="276" w:lineRule="auto"/>
            </w:pPr>
            <w:r>
              <w:rPr>
                <w:sz w:val="15"/>
                <w:szCs w:val="15"/>
              </w:rPr>
              <w:t xml:space="preserve">Entrevista con Administración y Finanzas, fecha</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8 000</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12 000</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18 000</w:t>
            </w:r>
          </w:p>
        </w:tc>
        <w:tc>
          <w:tcPr>
            <w:tcW w:type="dxa" w:w="2036"/>
            <w:tcMar>
              <w:top w:type="dxa" w:w="70"/>
              <w:left w:type="dxa" w:w="110"/>
              <w:bottom w:type="dxa" w:w="70"/>
              <w:right w:type="dxa" w:w="110"/>
            </w:tcMar>
            <w:vAlign w:val="center"/>
          </w:tcPr>
          <w:p>
            <w:pPr>
              <w:spacing w:after="0" w:before="0" w:line="276" w:lineRule="auto"/>
            </w:pPr>
            <w:r>
              <w:rPr>
                <w:sz w:val="15"/>
                <w:szCs w:val="15"/>
              </w:rPr>
              <w:t xml:space="preserve">Sí / No</w:t>
            </w:r>
          </w:p>
        </w:tc>
      </w:tr>
      <w:tr>
        <w:trPr>
          <w:cantSplit/>
        </w:trPr>
        <w:tc>
          <w:tcPr>
            <w:tcW w:type="dxa" w:w="20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0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203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bl>
    <w:p>
      <w:pPr>
        <w:spacing w:after="120" w:before="40" w:line="276" w:lineRule="auto"/>
      </w:pPr>
      <w:r>
        <w:t xml:space="preserve">Regla de calidad: cada proceso clasificado como crítico tiene sus cinco métricas y la comprobación RTO + WRT ≤ MTPD cumplida; cada punto único de falla de BIA_P06 aparece en B.4 y reaparece en la matriz de riesgos de E.05; el SLE de B.2 es el valor que E.05 multiplica por el ARO; los supuestos de B.5 se varían en tres escenarios y el informe ejecutivo (BIA_P07) declara si la conclusión es robusta o depende de un supuesto.</w:t>
      </w:r>
    </w:p>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 Los supuestos de B.5 y de BIA_P06 llevan aquí el mismo identificador.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E.03 BIA: consolidación de procesos críticos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2026-09-26T23:15:12.245Z</dcterms:created>
  <dcterms:modified xsi:type="dcterms:W3CDTF">2026-09-26T23:15:12.245Z</dcterms:modified>
</cp:coreProperties>
</file>

<file path=docProps/custom.xml><?xml version="1.0" encoding="utf-8"?>
<Properties xmlns="http://schemas.openxmlformats.org/officeDocument/2006/custom-properties" xmlns:vt="http://schemas.openxmlformats.org/officeDocument/2006/docPropsVTypes"/>
</file>