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E.04</w:t>
      </w:r>
    </w:p>
    <w:p>
      <w:pPr>
        <w:spacing w:after="400"/>
        <w:jc w:val="center"/>
      </w:pPr>
      <w:r>
        <w:rPr>
          <w:color w:val="262626"/>
          <w:sz w:val="28"/>
          <w:szCs w:val="28"/>
        </w:rPr>
        <w:t xml:space="preserve">Inventario y clasificación de activos críticos</w:t>
      </w:r>
    </w:p>
    <w:p>
      <w:pPr>
        <w:spacing w:after="120" w:before="40" w:line="276" w:lineRule="auto"/>
        <w:jc w:val="center"/>
      </w:pPr>
      <w:r>
        <w:rPr>
          <w:color w:val="595959"/>
          <w:sz w:val="22"/>
          <w:szCs w:val="22"/>
        </w:rPr>
        <w:t xml:space="preserve">Formato oficial del entregable E.04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E.04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E04_Inventario_Clasificacion_Activos_&lt;Equipo&gt;.docx (o .pdf).</w:t>
      </w:r>
    </w:p>
    <w:p>
      <w:pPr>
        <w:pStyle w:val="Heading1"/>
      </w:pPr>
      <w:r>
        <w:t xml:space="preserve">3. Inventario y clasificación de activos críticos</w:t>
      </w:r>
    </w:p>
    <w:p>
      <w:pPr>
        <w:spacing w:after="120" w:before="40" w:line="276" w:lineRule="auto"/>
      </w:pPr>
      <w:r>
        <w:t xml:space="preserve">Fundamento: CIS Controls v8.1 (2024), controles 1 (activos empresariales), 2 (activos de software) y 3 (protección de datos). Un activo entra al inventario cuando sostiene un proceso crítico del BIA (E.03). Categorías: información, software, hardware, servicios (internos y de terceros), personas clave e instalaciones. Cada activo declara dueño y, cuando es información, su clasificación de confidencialidad: pública, interna, confidencial o restringida; los datos personales se clasifican al menos como confidenciales y quedan marcados como sujetos a la LPDP (D.L. 144/2024).</w:t>
      </w:r>
    </w:p>
    <w:p>
      <w:pPr>
        <w:pStyle w:val="Heading2"/>
      </w:pPr>
      <w:r>
        <w:t xml:space="preserve">C.1 Plantilla del inventario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200"/>
        <w:gridCol w:w="1700"/>
        <w:gridCol w:w="1200"/>
        <w:gridCol w:w="1100"/>
        <w:gridCol w:w="800"/>
        <w:gridCol w:w="1436"/>
      </w:tblGrid>
      <w:tr>
        <w:trPr>
          <w:tblHeader/>
        </w:trPr>
        <w:tc>
          <w:tcPr>
            <w:tcW w:type="dxa" w:w="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w:t>
            </w:r>
          </w:p>
        </w:tc>
        <w:tc>
          <w:tcPr>
            <w:tcW w:type="dxa" w:w="1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Activo</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Categoría</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 que sostiene</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Dueño</w:t>
            </w:r>
          </w:p>
        </w:tc>
        <w:tc>
          <w:tcPr>
            <w:tcW w:type="dxa" w:w="1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Clasificación</w:t>
            </w:r>
          </w:p>
        </w:tc>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Datos personales</w:t>
            </w:r>
          </w:p>
        </w:tc>
        <w:tc>
          <w:tcPr>
            <w:tcW w:type="dxa" w:w="1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Riesgo(s) en E.05 o justificación de ausencia</w:t>
            </w:r>
          </w:p>
        </w:tc>
      </w:tr>
      <w:tr>
        <w:trPr>
          <w:cantSplit/>
        </w:trPr>
        <w:tc>
          <w:tcPr>
            <w:tcW w:type="dxa" w:w="600"/>
            <w:tcMar>
              <w:top w:type="dxa" w:w="70"/>
              <w:left w:type="dxa" w:w="110"/>
              <w:bottom w:type="dxa" w:w="70"/>
              <w:right w:type="dxa" w:w="110"/>
            </w:tcMar>
            <w:vAlign w:val="center"/>
          </w:tcPr>
          <w:p>
            <w:pPr>
              <w:spacing w:after="0" w:before="0" w:line="276" w:lineRule="auto"/>
            </w:pPr>
            <w:r>
              <w:rPr>
                <w:sz w:val="14"/>
                <w:szCs w:val="14"/>
              </w:rPr>
              <w:t xml:space="preserve">A-01</w:t>
            </w:r>
          </w:p>
        </w:tc>
        <w:tc>
          <w:tcPr>
            <w:tcW w:type="dxa" w:w="1900"/>
            <w:tcMar>
              <w:top w:type="dxa" w:w="70"/>
              <w:left w:type="dxa" w:w="110"/>
              <w:bottom w:type="dxa" w:w="70"/>
              <w:right w:type="dxa" w:w="110"/>
            </w:tcMar>
            <w:vAlign w:val="center"/>
          </w:tcPr>
          <w:p>
            <w:pPr>
              <w:spacing w:after="0" w:before="0" w:line="276" w:lineRule="auto"/>
            </w:pPr>
            <w:r>
              <w:rPr>
                <w:sz w:val="14"/>
                <w:szCs w:val="14"/>
              </w:rPr>
              <w:t xml:space="preserve">(p. ej.) Sistema EHR/HIS (Cerner) — RHM</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Software (plataforma)</w:t>
            </w:r>
          </w:p>
        </w:tc>
        <w:tc>
          <w:tcPr>
            <w:tcW w:type="dxa" w:w="1700"/>
            <w:tcMar>
              <w:top w:type="dxa" w:w="70"/>
              <w:left w:type="dxa" w:w="110"/>
              <w:bottom w:type="dxa" w:w="70"/>
              <w:right w:type="dxa" w:w="110"/>
            </w:tcMar>
            <w:vAlign w:val="center"/>
          </w:tcPr>
          <w:p>
            <w:pPr>
              <w:spacing w:after="0" w:before="0" w:line="276" w:lineRule="auto"/>
            </w:pPr>
            <w:r>
              <w:rPr>
                <w:sz w:val="14"/>
                <w:szCs w:val="14"/>
              </w:rPr>
              <w:t xml:space="preserve">Gestión de expedientes clínicos electrónicos</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Dirección de TI</w:t>
            </w:r>
          </w:p>
        </w:tc>
        <w:tc>
          <w:tcPr>
            <w:tcW w:type="dxa" w:w="1100"/>
            <w:tcMar>
              <w:top w:type="dxa" w:w="70"/>
              <w:left w:type="dxa" w:w="110"/>
              <w:bottom w:type="dxa" w:w="70"/>
              <w:right w:type="dxa" w:w="110"/>
            </w:tcMar>
            <w:vAlign w:val="center"/>
          </w:tcPr>
          <w:p>
            <w:pPr>
              <w:spacing w:after="0" w:before="0" w:line="276" w:lineRule="auto"/>
            </w:pPr>
            <w:r>
              <w:rPr>
                <w:sz w:val="14"/>
                <w:szCs w:val="14"/>
              </w:rPr>
              <w:t xml:space="preserve">Restringida</w:t>
            </w:r>
          </w:p>
        </w:tc>
        <w:tc>
          <w:tcPr>
            <w:tcW w:type="dxa" w:w="800"/>
            <w:tcMar>
              <w:top w:type="dxa" w:w="70"/>
              <w:left w:type="dxa" w:w="110"/>
              <w:bottom w:type="dxa" w:w="70"/>
              <w:right w:type="dxa" w:w="110"/>
            </w:tcMar>
            <w:vAlign w:val="center"/>
          </w:tcPr>
          <w:p>
            <w:pPr>
              <w:spacing w:after="0" w:before="0" w:line="276" w:lineRule="auto"/>
            </w:pPr>
            <w:r>
              <w:rPr>
                <w:sz w:val="14"/>
                <w:szCs w:val="14"/>
              </w:rPr>
              <w:t xml:space="preserve">Sí</w:t>
            </w:r>
          </w:p>
        </w:tc>
        <w:tc>
          <w:tcPr>
            <w:tcW w:type="dxa" w:w="1436"/>
            <w:tcMar>
              <w:top w:type="dxa" w:w="70"/>
              <w:left w:type="dxa" w:w="110"/>
              <w:bottom w:type="dxa" w:w="70"/>
              <w:right w:type="dxa" w:w="110"/>
            </w:tcMar>
            <w:vAlign w:val="center"/>
          </w:tcPr>
          <w:p>
            <w:pPr>
              <w:spacing w:after="0" w:before="0" w:line="276" w:lineRule="auto"/>
            </w:pPr>
            <w:r>
              <w:rPr>
                <w:sz w:val="14"/>
                <w:szCs w:val="14"/>
              </w:rPr>
              <w:t xml:space="preserve">R-01, R-03</w:t>
            </w:r>
          </w:p>
        </w:tc>
      </w:tr>
      <w:tr>
        <w:trPr>
          <w:cantSplit/>
        </w:trPr>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A-02</w:t>
            </w:r>
          </w:p>
        </w:tc>
        <w:tc>
          <w:tcPr>
            <w:tcW w:type="dxa" w:w="1900"/>
            <w:shd w:fill="F2F7FB" w:val="clear"/>
            <w:tcMar>
              <w:top w:type="dxa" w:w="70"/>
              <w:left w:type="dxa" w:w="110"/>
              <w:bottom w:type="dxa" w:w="70"/>
              <w:right w:type="dxa" w:w="110"/>
            </w:tcMar>
            <w:vAlign w:val="center"/>
          </w:tcPr>
          <w:p>
            <w:pPr>
              <w:spacing w:after="0" w:before="0" w:line="276" w:lineRule="auto"/>
            </w:pPr>
            <w:r>
              <w:rPr>
                <w:sz w:val="14"/>
                <w:szCs w:val="14"/>
              </w:rPr>
              <w:t xml:space="preserve">(p. ej.) Monitores de signos vitales y bombas de infusión en red (IoMT)</w:t>
            </w:r>
          </w:p>
        </w:tc>
        <w:tc>
          <w:tcPr>
            <w:tcW w:type="dxa" w:w="1200"/>
            <w:shd w:fill="F2F7FB" w:val="clear"/>
            <w:tcMar>
              <w:top w:type="dxa" w:w="70"/>
              <w:left w:type="dxa" w:w="110"/>
              <w:bottom w:type="dxa" w:w="70"/>
              <w:right w:type="dxa" w:w="110"/>
            </w:tcMar>
            <w:vAlign w:val="center"/>
          </w:tcPr>
          <w:p>
            <w:pPr>
              <w:spacing w:after="0" w:before="0" w:line="276" w:lineRule="auto"/>
            </w:pPr>
            <w:r>
              <w:rPr>
                <w:sz w:val="14"/>
                <w:szCs w:val="14"/>
              </w:rPr>
              <w:t xml:space="preserve">Hardware (plataforma)</w:t>
            </w:r>
          </w:p>
        </w:tc>
        <w:tc>
          <w:tcPr>
            <w:tcW w:type="dxa" w:w="1700"/>
            <w:shd w:fill="F2F7FB" w:val="clear"/>
            <w:tcMar>
              <w:top w:type="dxa" w:w="70"/>
              <w:left w:type="dxa" w:w="110"/>
              <w:bottom w:type="dxa" w:w="70"/>
              <w:right w:type="dxa" w:w="110"/>
            </w:tcMar>
            <w:vAlign w:val="center"/>
          </w:tcPr>
          <w:p>
            <w:pPr>
              <w:spacing w:after="0" w:before="0" w:line="276" w:lineRule="auto"/>
            </w:pPr>
            <w:r>
              <w:rPr>
                <w:sz w:val="14"/>
                <w:szCs w:val="14"/>
              </w:rPr>
              <w:t xml:space="preserve">Operación de equipo médico conectado</w:t>
            </w:r>
          </w:p>
        </w:tc>
        <w:tc>
          <w:tcPr>
            <w:tcW w:type="dxa" w:w="1200"/>
            <w:shd w:fill="F2F7FB" w:val="clear"/>
            <w:tcMar>
              <w:top w:type="dxa" w:w="70"/>
              <w:left w:type="dxa" w:w="110"/>
              <w:bottom w:type="dxa" w:w="70"/>
              <w:right w:type="dxa" w:w="110"/>
            </w:tcMar>
            <w:vAlign w:val="center"/>
          </w:tcPr>
          <w:p>
            <w:pPr>
              <w:spacing w:after="0" w:before="0" w:line="276" w:lineRule="auto"/>
            </w:pPr>
            <w:r>
              <w:rPr>
                <w:sz w:val="14"/>
                <w:szCs w:val="14"/>
              </w:rPr>
              <w:t xml:space="preserve">Dirección Médica</w:t>
            </w:r>
          </w:p>
        </w:tc>
        <w:tc>
          <w:tcPr>
            <w:tcW w:type="dxa" w:w="1100"/>
            <w:shd w:fill="F2F7FB" w:val="clear"/>
            <w:tcMar>
              <w:top w:type="dxa" w:w="70"/>
              <w:left w:type="dxa" w:w="110"/>
              <w:bottom w:type="dxa" w:w="70"/>
              <w:right w:type="dxa" w:w="110"/>
            </w:tcMar>
            <w:vAlign w:val="center"/>
          </w:tcPr>
          <w:p>
            <w:pPr>
              <w:spacing w:after="0" w:before="0" w:line="276" w:lineRule="auto"/>
            </w:pPr>
            <w:r>
              <w:rPr>
                <w:sz w:val="14"/>
                <w:szCs w:val="14"/>
              </w:rPr>
              <w:t xml:space="preserve">Confidencial</w:t>
            </w:r>
          </w:p>
        </w:tc>
        <w:tc>
          <w:tcPr>
            <w:tcW w:type="dxa" w:w="800"/>
            <w:shd w:fill="F2F7FB" w:val="clear"/>
            <w:tcMar>
              <w:top w:type="dxa" w:w="70"/>
              <w:left w:type="dxa" w:w="110"/>
              <w:bottom w:type="dxa" w:w="70"/>
              <w:right w:type="dxa" w:w="110"/>
            </w:tcMar>
            <w:vAlign w:val="center"/>
          </w:tcPr>
          <w:p>
            <w:pPr>
              <w:spacing w:after="0" w:before="0" w:line="276" w:lineRule="auto"/>
            </w:pPr>
            <w:r>
              <w:rPr>
                <w:sz w:val="14"/>
                <w:szCs w:val="14"/>
              </w:rPr>
              <w:t xml:space="preserve">Sí</w:t>
            </w:r>
          </w:p>
        </w:tc>
        <w:tc>
          <w:tcPr>
            <w:tcW w:type="dxa" w:w="1436"/>
            <w:shd w:fill="F2F7FB" w:val="clear"/>
            <w:tcMar>
              <w:top w:type="dxa" w:w="70"/>
              <w:left w:type="dxa" w:w="110"/>
              <w:bottom w:type="dxa" w:w="70"/>
              <w:right w:type="dxa" w:w="110"/>
            </w:tcMar>
            <w:vAlign w:val="center"/>
          </w:tcPr>
          <w:p>
            <w:pPr>
              <w:spacing w:after="0" w:before="0" w:line="276" w:lineRule="auto"/>
            </w:pPr>
            <w:r>
              <w:rPr>
                <w:sz w:val="14"/>
                <w:szCs w:val="14"/>
              </w:rPr>
              <w:t xml:space="preserve">R-02</w:t>
            </w:r>
          </w:p>
        </w:tc>
      </w:tr>
      <w:tr>
        <w:trPr>
          <w:cantSplit/>
        </w:trPr>
        <w:tc>
          <w:tcPr>
            <w:tcW w:type="dxa" w:w="6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9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7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1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8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436"/>
            <w:tcMar>
              <w:top w:type="dxa" w:w="70"/>
              <w:left w:type="dxa" w:w="110"/>
              <w:bottom w:type="dxa" w:w="70"/>
              <w:right w:type="dxa" w:w="110"/>
            </w:tcMar>
            <w:vAlign w:val="center"/>
          </w:tcPr>
          <w:p>
            <w:pPr>
              <w:spacing w:after="0" w:before="0" w:line="276" w:lineRule="auto"/>
            </w:pPr>
            <w:r>
              <w:rPr>
                <w:sz w:val="14"/>
                <w:szCs w:val="14"/>
              </w:rPr>
              <w:t xml:space="preserve">…</w:t>
            </w:r>
          </w:p>
        </w:tc>
      </w:tr>
    </w:tbl>
    <w:p>
      <w:pPr>
        <w:spacing w:after="120" w:before="40" w:line="276" w:lineRule="auto"/>
      </w:pPr>
      <w:r>
        <w:t xml:space="preserve">Regla de calidad: cada proceso crítico de E.03 —y cada proceso importante que trate datos personales o tenga un punto único de falla— tiene al menos un activo de información, uno de plataforma (software o hardware) y uno de personas o terceros; y cada activo del inventario aparece después en la matriz de riesgos de E.05 (columna 8) o trae su justificación de ausencia.</w:t>
      </w:r>
    </w:p>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E.04 Inventario y clasificación de activos críticos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2026-09-26T23:15:12.356Z</dcterms:created>
  <dcterms:modified xsi:type="dcterms:W3CDTF">2026-09-26T23:15:12.356Z</dcterms:modified>
</cp:coreProperties>
</file>

<file path=docProps/custom.xml><?xml version="1.0" encoding="utf-8"?>
<Properties xmlns="http://schemas.openxmlformats.org/officeDocument/2006/custom-properties" xmlns:vt="http://schemas.openxmlformats.org/officeDocument/2006/docPropsVTypes"/>
</file>