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E.05</w:t>
      </w:r>
    </w:p>
    <w:p>
      <w:pPr>
        <w:spacing w:after="400"/>
        <w:jc w:val="center"/>
      </w:pPr>
      <w:r>
        <w:rPr>
          <w:color w:val="262626"/>
          <w:sz w:val="28"/>
          <w:szCs w:val="28"/>
        </w:rPr>
        <w:t xml:space="preserve">Matriz de riesgos: escalas, mapa de calor y tratamientos</w:t>
      </w:r>
    </w:p>
    <w:p>
      <w:pPr>
        <w:spacing w:after="120" w:before="40" w:line="276" w:lineRule="auto"/>
        <w:jc w:val="center"/>
      </w:pPr>
      <w:r>
        <w:rPr>
          <w:color w:val="595959"/>
          <w:sz w:val="22"/>
          <w:szCs w:val="22"/>
        </w:rPr>
        <w:t xml:space="preserve">Formato oficial del entregable E.05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E.05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E05_Matriz_Riesgos_&lt;Equipo&gt;.docx (o .pdf).</w:t>
      </w:r>
    </w:p>
    <w:p>
      <w:pPr>
        <w:pStyle w:val="Heading1"/>
      </w:pPr>
      <w:r>
        <w:t xml:space="preserve">3. Matriz de riesgos: escalas, mapa de calor y tratamientos</w:t>
      </w:r>
    </w:p>
    <w:p>
      <w:pPr>
        <w:spacing w:after="120" w:before="40" w:line="276" w:lineRule="auto"/>
      </w:pPr>
      <w:r>
        <w:t xml:space="preserve">Fundamento: NIST SP 800-30 r1 (guía de evaluación de riesgos). El riesgo se identifica como la combinación de una amenaza que explota una vulnerabilidad sobre un activo, y se valora como </w:t>
      </w:r>
      <w:r>
        <w:rPr>
          <w:b/>
          <w:bCs/>
        </w:rPr>
        <w:t xml:space="preserve">probabilidad × impacto</w:t>
      </w:r>
      <w:r>
        <w:t xml:space="preserve"> con las escalas 1–5 siguientes. La matriz registra el riesgo </w:t>
      </w:r>
      <w:r>
        <w:rPr>
          <w:b/>
          <w:bCs/>
        </w:rPr>
        <w:t xml:space="preserve">inherente</w:t>
      </w:r>
      <w:r>
        <w:t xml:space="preserve"> (antes de controles), el </w:t>
      </w:r>
      <w:r>
        <w:rPr>
          <w:b/>
          <w:bCs/>
        </w:rPr>
        <w:t xml:space="preserve">tratamiento</w:t>
      </w:r>
      <w:r>
        <w:t xml:space="preserve"> elegido y el riesgo </w:t>
      </w:r>
      <w:r>
        <w:rPr>
          <w:b/>
          <w:bCs/>
        </w:rPr>
        <w:t xml:space="preserve">residual</w:t>
      </w:r>
      <w:r>
        <w:t xml:space="preserve"> (después del tratamiento), y la dirección declara su </w:t>
      </w:r>
      <w:r>
        <w:rPr>
          <w:b/>
          <w:bCs/>
        </w:rPr>
        <w:t xml:space="preserve">apetito de riesgo</w:t>
      </w:r>
      <w:r>
        <w:t xml:space="preserve">: el nivel con el que acepta convivir. Los puntos únicos de falla de E.03 (B.4) entran como vulnerabilidades y el costo por hora del BIA sustenta la valoración del impacto.</w:t>
      </w:r>
    </w:p>
    <w:p>
      <w:pPr>
        <w:pStyle w:val="Heading2"/>
      </w:pPr>
      <w:r>
        <w:t xml:space="preserve">D.1 Escala de probabilidad (1–5)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436"/>
      </w:tblGrid>
      <w:tr>
        <w:trPr>
          <w:tblHeader/>
        </w:trPr>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Nivel</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Nombre</w:t>
            </w:r>
          </w:p>
        </w:tc>
        <w:tc>
          <w:tcPr>
            <w:tcW w:type="dxa" w:w="74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Criterio</w:t>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5</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Casi seguro</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Se espera que ocurra en el año; hay antecedentes en la organización o en el sector con alta frecuencia.</w:t>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8"/>
                <w:szCs w:val="18"/>
              </w:rPr>
              <w:t xml:space="preserve">4</w:t>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Probable</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Es factible que ocurra en el año; el sector reporta casos frecuentes (p. ej. phishing, ransomware).</w:t>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3</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Posible</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Puede ocurrir en un horizonte de 1 a 3 años; existen condiciones que lo facilitan.</w:t>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8"/>
                <w:szCs w:val="18"/>
              </w:rPr>
              <w:t xml:space="preserve">2</w:t>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Improbable</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Ocurrencia rara; exige condiciones poco frecuentes o un atacante con capacidades altas.</w:t>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1</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Excepcional</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Ocurrencia muy rara; sin antecedentes relevantes en el sector.</w:t>
            </w:r>
          </w:p>
        </w:tc>
      </w:tr>
    </w:tbl>
    <w:p>
      <w:pPr>
        <w:pStyle w:val="Heading2"/>
      </w:pPr>
      <w:r>
        <w:t xml:space="preserve">D.2 Escala de impacto (1–5)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436"/>
      </w:tblGrid>
      <w:tr>
        <w:trPr>
          <w:tblHeader/>
        </w:trPr>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Nivel</w:t>
            </w:r>
          </w:p>
        </w:tc>
        <w:tc>
          <w:tcPr>
            <w:tcW w:type="dxa" w:w="1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Nombre</w:t>
            </w:r>
          </w:p>
        </w:tc>
        <w:tc>
          <w:tcPr>
            <w:tcW w:type="dxa" w:w="74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Criterio (financiero · operativo · legal y regulatorio · reputacional · seguridad de las personas)</w:t>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5</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Catastrófico</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Compromete la continuidad de la organización o la seguridad de las personas: pérdida financiera mayor, interrupción de un proceso crítico más allá de su MTPD con daño a terceros, daño reputacional severo o sanción regulatoria grave (p. ej. incumplir la notificación de 72 h de la LPDP en una brecha masiva de datos personales).</w:t>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8"/>
                <w:szCs w:val="18"/>
              </w:rPr>
              <w:t xml:space="preserve">4</w:t>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Mayor</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Interrupción de un proceso crítico más allá de su MTPD, pérdida financiera importante o sanción regulatoria significativa.</w:t>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3</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Moderado</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Interrupción dentro de los tiempos tolerables, pérdida financiera media o afectación reputacional local.</w:t>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8"/>
                <w:szCs w:val="18"/>
              </w:rPr>
              <w:t xml:space="preserve">2</w:t>
            </w:r>
          </w:p>
        </w:tc>
        <w:tc>
          <w:tcPr>
            <w:tcW w:type="dxa" w:w="1700"/>
            <w:shd w:fill="F2F7FB" w:val="clear"/>
            <w:tcMar>
              <w:top w:type="dxa" w:w="70"/>
              <w:left w:type="dxa" w:w="110"/>
              <w:bottom w:type="dxa" w:w="70"/>
              <w:right w:type="dxa" w:w="110"/>
            </w:tcMar>
            <w:vAlign w:val="center"/>
          </w:tcPr>
          <w:p>
            <w:pPr>
              <w:spacing w:after="0" w:before="0" w:line="276" w:lineRule="auto"/>
            </w:pPr>
            <w:r>
              <w:rPr>
                <w:sz w:val="18"/>
                <w:szCs w:val="18"/>
              </w:rPr>
              <w:t xml:space="preserve">Menor</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Degradación del servicio sin interrupción de procesos críticos; costo de respuesta bajo.</w:t>
            </w:r>
          </w:p>
        </w:tc>
      </w:tr>
      <w:tr>
        <w:trPr>
          <w:cantSplit/>
        </w:trPr>
        <w:tc>
          <w:tcPr>
            <w:tcW w:type="dxa" w:w="800"/>
            <w:tcMar>
              <w:top w:type="dxa" w:w="70"/>
              <w:left w:type="dxa" w:w="110"/>
              <w:bottom w:type="dxa" w:w="70"/>
              <w:right w:type="dxa" w:w="110"/>
            </w:tcMar>
            <w:vAlign w:val="center"/>
          </w:tcPr>
          <w:p>
            <w:pPr>
              <w:spacing w:after="0" w:before="0" w:line="276" w:lineRule="auto"/>
            </w:pPr>
            <w:r>
              <w:rPr>
                <w:sz w:val="18"/>
                <w:szCs w:val="18"/>
              </w:rPr>
              <w:t xml:space="preserve">1</w:t>
            </w:r>
          </w:p>
        </w:tc>
        <w:tc>
          <w:tcPr>
            <w:tcW w:type="dxa" w:w="1700"/>
            <w:tcMar>
              <w:top w:type="dxa" w:w="70"/>
              <w:left w:type="dxa" w:w="110"/>
              <w:bottom w:type="dxa" w:w="70"/>
              <w:right w:type="dxa" w:w="110"/>
            </w:tcMar>
            <w:vAlign w:val="center"/>
          </w:tcPr>
          <w:p>
            <w:pPr>
              <w:spacing w:after="0" w:before="0" w:line="276" w:lineRule="auto"/>
            </w:pPr>
            <w:r>
              <w:rPr>
                <w:sz w:val="18"/>
                <w:szCs w:val="18"/>
              </w:rPr>
              <w:t xml:space="preserve">Insignificante</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Afectación mínima absorbida por la operación normal.</w:t>
            </w:r>
          </w:p>
        </w:tc>
      </w:tr>
    </w:tbl>
    <w:p>
      <w:pPr>
        <w:pStyle w:val="Heading2"/>
      </w:pPr>
      <w:r>
        <w:t xml:space="preserve">D.3 Mapa de calor 5×5 y niveles de riesgo</w:t>
      </w:r>
    </w:p>
    <w:p>
      <w:pPr>
        <w:spacing w:after="120" w:before="40" w:line="276" w:lineRule="auto"/>
      </w:pPr>
      <w:r>
        <w:t xml:space="preserve">El producto probabilidad × impacto (1–25) se clasifica en cuatro niveles, que colorean el mapa de calor del informe: </w:t>
      </w:r>
      <w:r>
        <w:rPr>
          <w:b/>
          <w:bCs/>
        </w:rPr>
        <w:t xml:space="preserve">Crítico</w:t>
      </w:r>
      <w:r>
        <w:t xml:space="preserve"> (17–25), </w:t>
      </w:r>
      <w:r>
        <w:rPr>
          <w:b/>
          <w:bCs/>
        </w:rPr>
        <w:t xml:space="preserve">Alto</w:t>
      </w:r>
      <w:r>
        <w:t xml:space="preserve"> (10–16), </w:t>
      </w:r>
      <w:r>
        <w:rPr>
          <w:b/>
          <w:bCs/>
        </w:rPr>
        <w:t xml:space="preserve">Medio</w:t>
      </w:r>
      <w:r>
        <w:t xml:space="preserve"> (5–9) y </w:t>
      </w:r>
      <w:r>
        <w:rPr>
          <w:b/>
          <w:bCs/>
        </w:rPr>
        <w:t xml:space="preserve">Bajo</w:t>
      </w:r>
      <w:r>
        <w:t xml:space="preserve"> (1–4). Regla de decisión del proyecto: todo riesgo Crítico o Alto recibe tratamiento con controles (y es candidato natural a los seis controles a profundidad de E.07); los Medios se tratan o se aceptan con justificación; los Bajos se aceptan y se monitorean.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1780"/>
        <w:gridCol w:w="1780"/>
        <w:gridCol w:w="1780"/>
        <w:gridCol w:w="1780"/>
        <w:gridCol w:w="1816"/>
      </w:tblGrid>
      <w:tr>
        <w:trPr>
          <w:tblHeader/>
        </w:trPr>
        <w:tc>
          <w:tcPr>
            <w:tcW w:type="dxa" w:w="1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 \ I</w:t>
            </w:r>
          </w:p>
        </w:tc>
        <w:tc>
          <w:tcPr>
            <w:tcW w:type="dxa" w:w="178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1</w:t>
            </w:r>
          </w:p>
        </w:tc>
        <w:tc>
          <w:tcPr>
            <w:tcW w:type="dxa" w:w="178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2</w:t>
            </w:r>
          </w:p>
        </w:tc>
        <w:tc>
          <w:tcPr>
            <w:tcW w:type="dxa" w:w="178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3</w:t>
            </w:r>
          </w:p>
        </w:tc>
        <w:tc>
          <w:tcPr>
            <w:tcW w:type="dxa" w:w="178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4</w:t>
            </w:r>
          </w:p>
        </w:tc>
        <w:tc>
          <w:tcPr>
            <w:tcW w:type="dxa" w:w="181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5</w:t>
            </w:r>
          </w:p>
        </w:tc>
      </w:tr>
      <w:tr>
        <w:trPr>
          <w:cantSplit/>
        </w:trPr>
        <w:tc>
          <w:tcPr>
            <w:tcW w:type="dxa" w:w="1000"/>
            <w:tcMar>
              <w:top w:type="dxa" w:w="70"/>
              <w:left w:type="dxa" w:w="110"/>
              <w:bottom w:type="dxa" w:w="70"/>
              <w:right w:type="dxa" w:w="110"/>
            </w:tcMar>
            <w:vAlign w:val="center"/>
          </w:tcPr>
          <w:p>
            <w:pPr>
              <w:spacing w:after="0" w:before="0" w:line="276" w:lineRule="auto"/>
            </w:pPr>
            <w:r>
              <w:rPr>
                <w:sz w:val="16"/>
                <w:szCs w:val="16"/>
              </w:rPr>
              <w:t xml:space="preserve">5</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5 · Medio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10 · Alto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15 · Alto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20 · Crítico</w:t>
            </w:r>
          </w:p>
        </w:tc>
        <w:tc>
          <w:tcPr>
            <w:tcW w:type="dxa" w:w="1816"/>
            <w:tcMar>
              <w:top w:type="dxa" w:w="70"/>
              <w:left w:type="dxa" w:w="110"/>
              <w:bottom w:type="dxa" w:w="70"/>
              <w:right w:type="dxa" w:w="110"/>
            </w:tcMar>
            <w:vAlign w:val="center"/>
          </w:tcPr>
          <w:p>
            <w:pPr>
              <w:spacing w:after="0" w:before="0" w:line="276" w:lineRule="auto"/>
            </w:pPr>
            <w:r>
              <w:rPr>
                <w:sz w:val="16"/>
                <w:szCs w:val="16"/>
              </w:rPr>
              <w:t xml:space="preserve">25 · Crítico</w:t>
            </w:r>
          </w:p>
        </w:tc>
      </w:tr>
      <w:tr>
        <w:trPr>
          <w:cantSplit/>
        </w:trPr>
        <w:tc>
          <w:tcPr>
            <w:tcW w:type="dxa" w:w="1000"/>
            <w:shd w:fill="F2F7FB" w:val="clear"/>
            <w:tcMar>
              <w:top w:type="dxa" w:w="70"/>
              <w:left w:type="dxa" w:w="110"/>
              <w:bottom w:type="dxa" w:w="70"/>
              <w:right w:type="dxa" w:w="110"/>
            </w:tcMar>
            <w:vAlign w:val="center"/>
          </w:tcPr>
          <w:p>
            <w:pPr>
              <w:spacing w:after="0" w:before="0" w:line="276" w:lineRule="auto"/>
            </w:pPr>
            <w:r>
              <w:rPr>
                <w:sz w:val="16"/>
                <w:szCs w:val="16"/>
              </w:rPr>
              <w:t xml:space="preserve">4</w:t>
            </w:r>
          </w:p>
        </w:tc>
        <w:tc>
          <w:tcPr>
            <w:tcW w:type="dxa" w:w="1780"/>
            <w:shd w:fill="F2F7FB" w:val="clear"/>
            <w:tcMar>
              <w:top w:type="dxa" w:w="70"/>
              <w:left w:type="dxa" w:w="110"/>
              <w:bottom w:type="dxa" w:w="70"/>
              <w:right w:type="dxa" w:w="110"/>
            </w:tcMar>
            <w:vAlign w:val="center"/>
          </w:tcPr>
          <w:p>
            <w:pPr>
              <w:spacing w:after="0" w:before="0" w:line="276" w:lineRule="auto"/>
            </w:pPr>
            <w:r>
              <w:rPr>
                <w:sz w:val="16"/>
                <w:szCs w:val="16"/>
              </w:rPr>
              <w:t xml:space="preserve">4 · Bajo</w:t>
            </w:r>
          </w:p>
        </w:tc>
        <w:tc>
          <w:tcPr>
            <w:tcW w:type="dxa" w:w="1780"/>
            <w:shd w:fill="F2F7FB" w:val="clear"/>
            <w:tcMar>
              <w:top w:type="dxa" w:w="70"/>
              <w:left w:type="dxa" w:w="110"/>
              <w:bottom w:type="dxa" w:w="70"/>
              <w:right w:type="dxa" w:w="110"/>
            </w:tcMar>
            <w:vAlign w:val="center"/>
          </w:tcPr>
          <w:p>
            <w:pPr>
              <w:spacing w:after="0" w:before="0" w:line="276" w:lineRule="auto"/>
            </w:pPr>
            <w:r>
              <w:rPr>
                <w:sz w:val="16"/>
                <w:szCs w:val="16"/>
              </w:rPr>
              <w:t xml:space="preserve">8 · Medio</w:t>
            </w:r>
          </w:p>
        </w:tc>
        <w:tc>
          <w:tcPr>
            <w:tcW w:type="dxa" w:w="1780"/>
            <w:shd w:fill="F2F7FB" w:val="clear"/>
            <w:tcMar>
              <w:top w:type="dxa" w:w="70"/>
              <w:left w:type="dxa" w:w="110"/>
              <w:bottom w:type="dxa" w:w="70"/>
              <w:right w:type="dxa" w:w="110"/>
            </w:tcMar>
            <w:vAlign w:val="center"/>
          </w:tcPr>
          <w:p>
            <w:pPr>
              <w:spacing w:after="0" w:before="0" w:line="276" w:lineRule="auto"/>
            </w:pPr>
            <w:r>
              <w:rPr>
                <w:sz w:val="16"/>
                <w:szCs w:val="16"/>
              </w:rPr>
              <w:t xml:space="preserve">12 · Alto</w:t>
            </w:r>
          </w:p>
        </w:tc>
        <w:tc>
          <w:tcPr>
            <w:tcW w:type="dxa" w:w="1780"/>
            <w:shd w:fill="F2F7FB" w:val="clear"/>
            <w:tcMar>
              <w:top w:type="dxa" w:w="70"/>
              <w:left w:type="dxa" w:w="110"/>
              <w:bottom w:type="dxa" w:w="70"/>
              <w:right w:type="dxa" w:w="110"/>
            </w:tcMar>
            <w:vAlign w:val="center"/>
          </w:tcPr>
          <w:p>
            <w:pPr>
              <w:spacing w:after="0" w:before="0" w:line="276" w:lineRule="auto"/>
            </w:pPr>
            <w:r>
              <w:rPr>
                <w:sz w:val="16"/>
                <w:szCs w:val="16"/>
              </w:rPr>
              <w:t xml:space="preserve">16 · Alto</w:t>
            </w:r>
          </w:p>
        </w:tc>
        <w:tc>
          <w:tcPr>
            <w:tcW w:type="dxa" w:w="1816"/>
            <w:shd w:fill="F2F7FB" w:val="clear"/>
            <w:tcMar>
              <w:top w:type="dxa" w:w="70"/>
              <w:left w:type="dxa" w:w="110"/>
              <w:bottom w:type="dxa" w:w="70"/>
              <w:right w:type="dxa" w:w="110"/>
            </w:tcMar>
            <w:vAlign w:val="center"/>
          </w:tcPr>
          <w:p>
            <w:pPr>
              <w:spacing w:after="0" w:before="0" w:line="276" w:lineRule="auto"/>
            </w:pPr>
            <w:r>
              <w:rPr>
                <w:sz w:val="16"/>
                <w:szCs w:val="16"/>
              </w:rPr>
              <w:t xml:space="preserve">20 · Crítico</w:t>
            </w:r>
          </w:p>
        </w:tc>
      </w:tr>
      <w:tr>
        <w:trPr>
          <w:cantSplit/>
        </w:trPr>
        <w:tc>
          <w:tcPr>
            <w:tcW w:type="dxa" w:w="1000"/>
            <w:tcMar>
              <w:top w:type="dxa" w:w="70"/>
              <w:left w:type="dxa" w:w="110"/>
              <w:bottom w:type="dxa" w:w="70"/>
              <w:right w:type="dxa" w:w="110"/>
            </w:tcMar>
            <w:vAlign w:val="center"/>
          </w:tcPr>
          <w:p>
            <w:pPr>
              <w:spacing w:after="0" w:before="0" w:line="276" w:lineRule="auto"/>
            </w:pPr>
            <w:r>
              <w:rPr>
                <w:sz w:val="16"/>
                <w:szCs w:val="16"/>
              </w:rPr>
              <w:t xml:space="preserve">3</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3 · Bajo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6 · Medio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9 · Medio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12 · Alto</w:t>
            </w:r>
          </w:p>
        </w:tc>
        <w:tc>
          <w:tcPr>
            <w:tcW w:type="dxa" w:w="1816"/>
            <w:tcMar>
              <w:top w:type="dxa" w:w="70"/>
              <w:left w:type="dxa" w:w="110"/>
              <w:bottom w:type="dxa" w:w="70"/>
              <w:right w:type="dxa" w:w="110"/>
            </w:tcMar>
            <w:vAlign w:val="center"/>
          </w:tcPr>
          <w:p>
            <w:pPr>
              <w:spacing w:after="0" w:before="0" w:line="276" w:lineRule="auto"/>
            </w:pPr>
            <w:r>
              <w:rPr>
                <w:sz w:val="16"/>
                <w:szCs w:val="16"/>
              </w:rPr>
              <w:t xml:space="preserve">15 · Alto</w:t>
            </w:r>
          </w:p>
        </w:tc>
      </w:tr>
      <w:tr>
        <w:trPr>
          <w:cantSplit/>
        </w:trPr>
        <w:tc>
          <w:tcPr>
            <w:tcW w:type="dxa" w:w="1000"/>
            <w:shd w:fill="F2F7FB" w:val="clear"/>
            <w:tcMar>
              <w:top w:type="dxa" w:w="70"/>
              <w:left w:type="dxa" w:w="110"/>
              <w:bottom w:type="dxa" w:w="70"/>
              <w:right w:type="dxa" w:w="110"/>
            </w:tcMar>
            <w:vAlign w:val="center"/>
          </w:tcPr>
          <w:p>
            <w:pPr>
              <w:spacing w:after="0" w:before="0" w:line="276" w:lineRule="auto"/>
            </w:pPr>
            <w:r>
              <w:rPr>
                <w:sz w:val="16"/>
                <w:szCs w:val="16"/>
              </w:rPr>
              <w:t xml:space="preserve">2</w:t>
            </w:r>
          </w:p>
        </w:tc>
        <w:tc>
          <w:tcPr>
            <w:tcW w:type="dxa" w:w="1780"/>
            <w:shd w:fill="F2F7FB" w:val="clear"/>
            <w:tcMar>
              <w:top w:type="dxa" w:w="70"/>
              <w:left w:type="dxa" w:w="110"/>
              <w:bottom w:type="dxa" w:w="70"/>
              <w:right w:type="dxa" w:w="110"/>
            </w:tcMar>
            <w:vAlign w:val="center"/>
          </w:tcPr>
          <w:p>
            <w:pPr>
              <w:spacing w:after="0" w:before="0" w:line="276" w:lineRule="auto"/>
            </w:pPr>
            <w:r>
              <w:rPr>
                <w:sz w:val="16"/>
                <w:szCs w:val="16"/>
              </w:rPr>
              <w:t xml:space="preserve">2 · Bajo</w:t>
            </w:r>
          </w:p>
        </w:tc>
        <w:tc>
          <w:tcPr>
            <w:tcW w:type="dxa" w:w="1780"/>
            <w:shd w:fill="F2F7FB" w:val="clear"/>
            <w:tcMar>
              <w:top w:type="dxa" w:w="70"/>
              <w:left w:type="dxa" w:w="110"/>
              <w:bottom w:type="dxa" w:w="70"/>
              <w:right w:type="dxa" w:w="110"/>
            </w:tcMar>
            <w:vAlign w:val="center"/>
          </w:tcPr>
          <w:p>
            <w:pPr>
              <w:spacing w:after="0" w:before="0" w:line="276" w:lineRule="auto"/>
            </w:pPr>
            <w:r>
              <w:rPr>
                <w:sz w:val="16"/>
                <w:szCs w:val="16"/>
              </w:rPr>
              <w:t xml:space="preserve">4 · Bajo</w:t>
            </w:r>
          </w:p>
        </w:tc>
        <w:tc>
          <w:tcPr>
            <w:tcW w:type="dxa" w:w="1780"/>
            <w:shd w:fill="F2F7FB" w:val="clear"/>
            <w:tcMar>
              <w:top w:type="dxa" w:w="70"/>
              <w:left w:type="dxa" w:w="110"/>
              <w:bottom w:type="dxa" w:w="70"/>
              <w:right w:type="dxa" w:w="110"/>
            </w:tcMar>
            <w:vAlign w:val="center"/>
          </w:tcPr>
          <w:p>
            <w:pPr>
              <w:spacing w:after="0" w:before="0" w:line="276" w:lineRule="auto"/>
            </w:pPr>
            <w:r>
              <w:rPr>
                <w:sz w:val="16"/>
                <w:szCs w:val="16"/>
              </w:rPr>
              <w:t xml:space="preserve">6 · Medio</w:t>
            </w:r>
          </w:p>
        </w:tc>
        <w:tc>
          <w:tcPr>
            <w:tcW w:type="dxa" w:w="1780"/>
            <w:shd w:fill="F2F7FB" w:val="clear"/>
            <w:tcMar>
              <w:top w:type="dxa" w:w="70"/>
              <w:left w:type="dxa" w:w="110"/>
              <w:bottom w:type="dxa" w:w="70"/>
              <w:right w:type="dxa" w:w="110"/>
            </w:tcMar>
            <w:vAlign w:val="center"/>
          </w:tcPr>
          <w:p>
            <w:pPr>
              <w:spacing w:after="0" w:before="0" w:line="276" w:lineRule="auto"/>
            </w:pPr>
            <w:r>
              <w:rPr>
                <w:sz w:val="16"/>
                <w:szCs w:val="16"/>
              </w:rPr>
              <w:t xml:space="preserve">8 · Medio</w:t>
            </w:r>
          </w:p>
        </w:tc>
        <w:tc>
          <w:tcPr>
            <w:tcW w:type="dxa" w:w="1816"/>
            <w:shd w:fill="F2F7FB" w:val="clear"/>
            <w:tcMar>
              <w:top w:type="dxa" w:w="70"/>
              <w:left w:type="dxa" w:w="110"/>
              <w:bottom w:type="dxa" w:w="70"/>
              <w:right w:type="dxa" w:w="110"/>
            </w:tcMar>
            <w:vAlign w:val="center"/>
          </w:tcPr>
          <w:p>
            <w:pPr>
              <w:spacing w:after="0" w:before="0" w:line="276" w:lineRule="auto"/>
            </w:pPr>
            <w:r>
              <w:rPr>
                <w:sz w:val="16"/>
                <w:szCs w:val="16"/>
              </w:rPr>
              <w:t xml:space="preserve">10 · Alto</w:t>
            </w:r>
          </w:p>
        </w:tc>
      </w:tr>
      <w:tr>
        <w:trPr>
          <w:cantSplit/>
        </w:trPr>
        <w:tc>
          <w:tcPr>
            <w:tcW w:type="dxa" w:w="1000"/>
            <w:tcMar>
              <w:top w:type="dxa" w:w="70"/>
              <w:left w:type="dxa" w:w="110"/>
              <w:bottom w:type="dxa" w:w="70"/>
              <w:right w:type="dxa" w:w="110"/>
            </w:tcMar>
            <w:vAlign w:val="center"/>
          </w:tcPr>
          <w:p>
            <w:pPr>
              <w:spacing w:after="0" w:before="0" w:line="276" w:lineRule="auto"/>
            </w:pPr>
            <w:r>
              <w:rPr>
                <w:sz w:val="16"/>
                <w:szCs w:val="16"/>
              </w:rPr>
              <w:t xml:space="preserve">1</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1 · Bajo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2 · Bajo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3 · Bajo</w:t>
            </w:r>
          </w:p>
        </w:tc>
        <w:tc>
          <w:tcPr>
            <w:tcW w:type="dxa" w:w="1780"/>
            <w:tcMar>
              <w:top w:type="dxa" w:w="70"/>
              <w:left w:type="dxa" w:w="110"/>
              <w:bottom w:type="dxa" w:w="70"/>
              <w:right w:type="dxa" w:w="110"/>
            </w:tcMar>
            <w:vAlign w:val="center"/>
          </w:tcPr>
          <w:p>
            <w:pPr>
              <w:spacing w:after="0" w:before="0" w:line="276" w:lineRule="auto"/>
            </w:pPr>
            <w:r>
              <w:rPr>
                <w:sz w:val="16"/>
                <w:szCs w:val="16"/>
              </w:rPr>
              <w:t xml:space="preserve">4 · Bajo</w:t>
            </w:r>
          </w:p>
        </w:tc>
        <w:tc>
          <w:tcPr>
            <w:tcW w:type="dxa" w:w="1816"/>
            <w:tcMar>
              <w:top w:type="dxa" w:w="70"/>
              <w:left w:type="dxa" w:w="110"/>
              <w:bottom w:type="dxa" w:w="70"/>
              <w:right w:type="dxa" w:w="110"/>
            </w:tcMar>
            <w:vAlign w:val="center"/>
          </w:tcPr>
          <w:p>
            <w:pPr>
              <w:spacing w:after="0" w:before="0" w:line="276" w:lineRule="auto"/>
            </w:pPr>
            <w:r>
              <w:rPr>
                <w:sz w:val="16"/>
                <w:szCs w:val="16"/>
              </w:rPr>
              <w:t xml:space="preserve">5 · Medio</w:t>
            </w:r>
          </w:p>
        </w:tc>
      </w:tr>
    </w:tbl>
    <w:p>
      <w:pPr>
        <w:pStyle w:val="Heading2"/>
      </w:pPr>
      <w:r>
        <w:t xml:space="preserve">D.4 Tratamientos y riesgo residual</w:t>
      </w:r>
    </w:p>
    <w:p>
      <w:pPr>
        <w:pStyle w:val="ListParagraph"/>
        <w:numPr>
          <w:ilvl w:val="0"/>
          <w:numId w:val="2"/>
        </w:numPr>
        <w:spacing w:after="70" w:line="270" w:lineRule="auto"/>
      </w:pPr>
      <w:r>
        <w:rPr>
          <w:b/>
          <w:bCs/>
        </w:rPr>
        <w:t xml:space="preserve">Mitigar:</w:t>
      </w:r>
      <w:r>
        <w:t xml:space="preserve"> reducir probabilidad o impacto con controles; es el tratamiento que conecta con los controles CIS del proyecto.</w:t>
      </w:r>
    </w:p>
    <w:p>
      <w:pPr>
        <w:pStyle w:val="ListParagraph"/>
        <w:numPr>
          <w:ilvl w:val="0"/>
          <w:numId w:val="2"/>
        </w:numPr>
        <w:spacing w:after="70" w:line="270" w:lineRule="auto"/>
      </w:pPr>
      <w:r>
        <w:rPr>
          <w:b/>
          <w:bCs/>
        </w:rPr>
        <w:t xml:space="preserve">Transferir:</w:t>
      </w:r>
      <w:r>
        <w:t xml:space="preserve"> trasladar parte del impacto mediante seguros o contratos con terceros.</w:t>
      </w:r>
    </w:p>
    <w:p>
      <w:pPr>
        <w:pStyle w:val="ListParagraph"/>
        <w:numPr>
          <w:ilvl w:val="0"/>
          <w:numId w:val="2"/>
        </w:numPr>
        <w:spacing w:after="70" w:line="270" w:lineRule="auto"/>
      </w:pPr>
      <w:r>
        <w:rPr>
          <w:b/>
          <w:bCs/>
        </w:rPr>
        <w:t xml:space="preserve">Evitar:</w:t>
      </w:r>
      <w:r>
        <w:t xml:space="preserve"> eliminar la actividad que genera el riesgo.</w:t>
      </w:r>
    </w:p>
    <w:p>
      <w:pPr>
        <w:pStyle w:val="ListParagraph"/>
        <w:numPr>
          <w:ilvl w:val="0"/>
          <w:numId w:val="2"/>
        </w:numPr>
        <w:spacing w:after="70" w:line="270" w:lineRule="auto"/>
      </w:pPr>
      <w:r>
        <w:rPr>
          <w:b/>
          <w:bCs/>
        </w:rPr>
        <w:t xml:space="preserve">Aceptar:</w:t>
      </w:r>
      <w:r>
        <w:t xml:space="preserve"> asumirlo formalmente cuando su nivel cae dentro del apetito declarado; la aceptación la firma la dirección simulada.</w:t>
      </w:r>
    </w:p>
    <w:p>
      <w:pPr>
        <w:pStyle w:val="Heading2"/>
      </w:pPr>
      <w:r>
        <w:t xml:space="preserve">D.4-bis Apetito de riesgo declarado por la dirección simulada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5"/>
                <w:szCs w:val="15"/>
              </w:rPr>
              <w:t xml:space="preserve">Apetito de riesgo (nivel residual máximo aceptable y condiciones)</w:t>
            </w:r>
          </w:p>
        </w:tc>
        <w:tc>
          <w:tcPr>
            <w:tcW w:type="dxa" w:w="6336"/>
            <w:tcMar>
              <w:top w:type="dxa" w:w="70"/>
              <w:left w:type="dxa" w:w="110"/>
              <w:bottom w:type="dxa" w:w="70"/>
              <w:right w:type="dxa" w:w="110"/>
            </w:tcMar>
            <w:vAlign w:val="center"/>
          </w:tcPr>
          <w:p>
            <w:pPr>
              <w:spacing w:after="0" w:before="0" w:line="276" w:lineRule="auto"/>
            </w:pPr>
            <w:r>
              <w:rPr>
                <w:sz w:val="15"/>
                <w:szCs w:val="15"/>
              </w:rPr>
              <w:t xml:space="preserve">(p. ej.) Ningún riesgo Crítico o Alto sin tratamiento; residual máximo aceptable: Medio; los Medios se aceptan con justificación escrita; los Bajos se monitorean.</w:t>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5"/>
                <w:szCs w:val="15"/>
              </w:rPr>
              <w:t xml:space="preserve">Aprobado por (nombre y cargo simulados)</w:t>
            </w:r>
          </w:p>
        </w:tc>
        <w:tc>
          <w:tcPr>
            <w:tcW w:type="dxa" w:w="6336"/>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5"/>
                <w:szCs w:val="15"/>
              </w:rPr>
              <w:t xml:space="preserve">Fecha y firma</w:t>
            </w:r>
          </w:p>
        </w:tc>
        <w:tc>
          <w:tcPr>
            <w:tcW w:type="dxa" w:w="6336"/>
            <w:tcMar>
              <w:top w:type="dxa" w:w="70"/>
              <w:left w:type="dxa" w:w="110"/>
              <w:bottom w:type="dxa" w:w="70"/>
              <w:right w:type="dxa" w:w="110"/>
            </w:tcMar>
            <w:vAlign w:val="center"/>
          </w:tcPr>
          <w:p>
            <w:pPr>
              <w:spacing w:after="0" w:before="0" w:line="276" w:lineRule="auto"/>
            </w:pPr>
            <w:r>
              <w:rPr>
                <w:sz w:val="15"/>
                <w:szCs w:val="15"/>
              </w:rPr>
              <w:t xml:space="preserve"/>
            </w:r>
          </w:p>
        </w:tc>
      </w:tr>
    </w:tbl>
    <w:p>
      <w:pPr>
        <w:pStyle w:val="Heading2"/>
      </w:pPr>
      <w:r>
        <w:t xml:space="preserve">D.5 Plantilla del registro de riesgos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50"/>
        <w:gridCol w:w="1200"/>
        <w:gridCol w:w="1200"/>
        <w:gridCol w:w="1500"/>
        <w:gridCol w:w="400"/>
        <w:gridCol w:w="400"/>
        <w:gridCol w:w="1500"/>
        <w:gridCol w:w="950"/>
        <w:gridCol w:w="900"/>
        <w:gridCol w:w="850"/>
        <w:gridCol w:w="486"/>
      </w:tblGrid>
      <w:tr>
        <w:trPr>
          <w:tblHeader/>
        </w:trPr>
        <w:tc>
          <w:tcPr>
            <w:tcW w:type="dxa" w:w="55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Activo</w:t>
            </w:r>
          </w:p>
        </w:tc>
        <w:tc>
          <w:tcPr>
            <w:tcW w:type="dxa" w:w="1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Amenaza</w:t>
            </w:r>
          </w:p>
        </w:tc>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Vulnerabilidad</w:t>
            </w:r>
          </w:p>
        </w:tc>
        <w:tc>
          <w:tcPr>
            <w:tcW w:type="dxa" w:w="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w:t>
            </w:r>
          </w:p>
        </w:tc>
        <w:tc>
          <w:tcPr>
            <w:tcW w:type="dxa" w:w="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w:t>
            </w:r>
          </w:p>
        </w:tc>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Justificación de P e I (una línea)</w:t>
            </w:r>
          </w:p>
        </w:tc>
        <w:tc>
          <w:tcPr>
            <w:tcW w:type="dxa" w:w="95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Inherente</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Tratamiento</w:t>
            </w:r>
          </w:p>
        </w:tc>
        <w:tc>
          <w:tcPr>
            <w:tcW w:type="dxa" w:w="85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Control CIS asociado</w:t>
            </w:r>
          </w:p>
        </w:tc>
        <w:tc>
          <w:tcPr>
            <w:tcW w:type="dxa" w:w="48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Residual (P×I)</w:t>
            </w:r>
          </w:p>
        </w:tc>
      </w:tr>
      <w:tr>
        <w:trPr>
          <w:cantSplit/>
        </w:trPr>
        <w:tc>
          <w:tcPr>
            <w:tcW w:type="dxa" w:w="550"/>
            <w:tcMar>
              <w:top w:type="dxa" w:w="70"/>
              <w:left w:type="dxa" w:w="110"/>
              <w:bottom w:type="dxa" w:w="70"/>
              <w:right w:type="dxa" w:w="110"/>
            </w:tcMar>
            <w:vAlign w:val="center"/>
          </w:tcPr>
          <w:p>
            <w:pPr>
              <w:spacing w:after="0" w:before="0" w:line="276" w:lineRule="auto"/>
            </w:pPr>
            <w:r>
              <w:rPr>
                <w:sz w:val="14"/>
                <w:szCs w:val="14"/>
              </w:rPr>
              <w:t xml:space="preserve">R-01</w:t>
            </w:r>
          </w:p>
        </w:tc>
        <w:tc>
          <w:tcPr>
            <w:tcW w:type="dxa" w:w="1200"/>
            <w:tcMar>
              <w:top w:type="dxa" w:w="70"/>
              <w:left w:type="dxa" w:w="110"/>
              <w:bottom w:type="dxa" w:w="70"/>
              <w:right w:type="dxa" w:w="110"/>
            </w:tcMar>
            <w:vAlign w:val="center"/>
          </w:tcPr>
          <w:p>
            <w:pPr>
              <w:spacing w:after="0" w:before="0" w:line="276" w:lineRule="auto"/>
            </w:pPr>
            <w:r>
              <w:rPr>
                <w:sz w:val="14"/>
                <w:szCs w:val="14"/>
              </w:rPr>
              <w:t xml:space="preserve">(p. ej.) Sistema EHR/HIS — RHM</w:t>
            </w:r>
          </w:p>
        </w:tc>
        <w:tc>
          <w:tcPr>
            <w:tcW w:type="dxa" w:w="1200"/>
            <w:tcMar>
              <w:top w:type="dxa" w:w="70"/>
              <w:left w:type="dxa" w:w="110"/>
              <w:bottom w:type="dxa" w:w="70"/>
              <w:right w:type="dxa" w:w="110"/>
            </w:tcMar>
            <w:vAlign w:val="center"/>
          </w:tcPr>
          <w:p>
            <w:pPr>
              <w:spacing w:after="0" w:before="0" w:line="276" w:lineRule="auto"/>
            </w:pPr>
            <w:r>
              <w:rPr>
                <w:sz w:val="14"/>
                <w:szCs w:val="14"/>
              </w:rPr>
              <w:t xml:space="preserve">Ransomware (cifrado del entorno del expediente clínico)</w:t>
            </w:r>
          </w:p>
        </w:tc>
        <w:tc>
          <w:tcPr>
            <w:tcW w:type="dxa" w:w="1500"/>
            <w:tcMar>
              <w:top w:type="dxa" w:w="70"/>
              <w:left w:type="dxa" w:w="110"/>
              <w:bottom w:type="dxa" w:w="70"/>
              <w:right w:type="dxa" w:w="110"/>
            </w:tcMar>
            <w:vAlign w:val="center"/>
          </w:tcPr>
          <w:p>
            <w:pPr>
              <w:spacing w:after="0" w:before="0" w:line="276" w:lineRule="auto"/>
            </w:pPr>
            <w:r>
              <w:rPr>
                <w:sz w:val="14"/>
                <w:szCs w:val="14"/>
              </w:rPr>
              <w:t xml:space="preserve">Segmentación laxa entre la red administrativa y la médica</w:t>
            </w:r>
          </w:p>
        </w:tc>
        <w:tc>
          <w:tcPr>
            <w:tcW w:type="dxa" w:w="400"/>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400"/>
            <w:tcMar>
              <w:top w:type="dxa" w:w="70"/>
              <w:left w:type="dxa" w:w="110"/>
              <w:bottom w:type="dxa" w:w="70"/>
              <w:right w:type="dxa" w:w="110"/>
            </w:tcMar>
            <w:vAlign w:val="center"/>
          </w:tcPr>
          <w:p>
            <w:pPr>
              <w:spacing w:after="0" w:before="0" w:line="276" w:lineRule="auto"/>
            </w:pPr>
            <w:r>
              <w:rPr>
                <w:sz w:val="14"/>
                <w:szCs w:val="14"/>
              </w:rPr>
              <w:t xml:space="preserve">5</w:t>
            </w:r>
          </w:p>
        </w:tc>
        <w:tc>
          <w:tcPr>
            <w:tcW w:type="dxa" w:w="1500"/>
            <w:tcMar>
              <w:top w:type="dxa" w:w="70"/>
              <w:left w:type="dxa" w:w="110"/>
              <w:bottom w:type="dxa" w:w="70"/>
              <w:right w:type="dxa" w:w="110"/>
            </w:tcMar>
            <w:vAlign w:val="center"/>
          </w:tcPr>
          <w:p>
            <w:pPr>
              <w:spacing w:after="0" w:before="0" w:line="276" w:lineRule="auto"/>
            </w:pPr>
            <w:r>
              <w:rPr>
                <w:sz w:val="14"/>
                <w:szCs w:val="14"/>
              </w:rPr>
              <w:t xml:space="preserve">P: el sector salud reporta ransomware con frecuencia · I: supera el MTPD de 4 h y compromete la seguridad de los pacientes</w:t>
            </w:r>
          </w:p>
        </w:tc>
        <w:tc>
          <w:tcPr>
            <w:tcW w:type="dxa" w:w="950"/>
            <w:tcMar>
              <w:top w:type="dxa" w:w="70"/>
              <w:left w:type="dxa" w:w="110"/>
              <w:bottom w:type="dxa" w:w="70"/>
              <w:right w:type="dxa" w:w="110"/>
            </w:tcMar>
            <w:vAlign w:val="center"/>
          </w:tcPr>
          <w:p>
            <w:pPr>
              <w:spacing w:after="0" w:before="0" w:line="276" w:lineRule="auto"/>
            </w:pPr>
            <w:r>
              <w:rPr>
                <w:sz w:val="14"/>
                <w:szCs w:val="14"/>
              </w:rPr>
              <w:t xml:space="preserve">20 · Crítico</w:t>
            </w:r>
          </w:p>
        </w:tc>
        <w:tc>
          <w:tcPr>
            <w:tcW w:type="dxa" w:w="900"/>
            <w:tcMar>
              <w:top w:type="dxa" w:w="70"/>
              <w:left w:type="dxa" w:w="110"/>
              <w:bottom w:type="dxa" w:w="70"/>
              <w:right w:type="dxa" w:w="110"/>
            </w:tcMar>
            <w:vAlign w:val="center"/>
          </w:tcPr>
          <w:p>
            <w:pPr>
              <w:spacing w:after="0" w:before="0" w:line="276" w:lineRule="auto"/>
            </w:pPr>
            <w:r>
              <w:rPr>
                <w:sz w:val="14"/>
                <w:szCs w:val="14"/>
              </w:rPr>
              <w:t xml:space="preserve">Mitigar</w:t>
            </w:r>
          </w:p>
        </w:tc>
        <w:tc>
          <w:tcPr>
            <w:tcW w:type="dxa" w:w="850"/>
            <w:tcMar>
              <w:top w:type="dxa" w:w="70"/>
              <w:left w:type="dxa" w:w="110"/>
              <w:bottom w:type="dxa" w:w="70"/>
              <w:right w:type="dxa" w:w="110"/>
            </w:tcMar>
            <w:vAlign w:val="center"/>
          </w:tcPr>
          <w:p>
            <w:pPr>
              <w:spacing w:after="0" w:before="0" w:line="276" w:lineRule="auto"/>
            </w:pPr>
            <w:r>
              <w:rPr>
                <w:sz w:val="14"/>
                <w:szCs w:val="14"/>
              </w:rPr>
              <w:t xml:space="preserve">12 y 13</w:t>
            </w:r>
          </w:p>
        </w:tc>
        <w:tc>
          <w:tcPr>
            <w:tcW w:type="dxa" w:w="486"/>
            <w:tcMar>
              <w:top w:type="dxa" w:w="70"/>
              <w:left w:type="dxa" w:w="110"/>
              <w:bottom w:type="dxa" w:w="70"/>
              <w:right w:type="dxa" w:w="110"/>
            </w:tcMar>
            <w:vAlign w:val="center"/>
          </w:tcPr>
          <w:p>
            <w:pPr>
              <w:spacing w:after="0" w:before="0" w:line="276" w:lineRule="auto"/>
            </w:pPr>
            <w:r>
              <w:rPr>
                <w:sz w:val="14"/>
                <w:szCs w:val="14"/>
              </w:rPr>
              <w:t xml:space="preserve">2×4 = 8 · Medio</w:t>
            </w:r>
          </w:p>
        </w:tc>
      </w:tr>
      <w:tr>
        <w:trPr>
          <w:cantSplit/>
        </w:trPr>
        <w:tc>
          <w:tcPr>
            <w:tcW w:type="dxa" w:w="550"/>
            <w:shd w:fill="F2F7FB" w:val="clear"/>
            <w:tcMar>
              <w:top w:type="dxa" w:w="70"/>
              <w:left w:type="dxa" w:w="110"/>
              <w:bottom w:type="dxa" w:w="70"/>
              <w:right w:type="dxa" w:w="110"/>
            </w:tcMar>
            <w:vAlign w:val="center"/>
          </w:tcPr>
          <w:p>
            <w:pPr>
              <w:spacing w:after="0" w:before="0" w:line="276" w:lineRule="auto"/>
            </w:pPr>
            <w:r>
              <w:rPr>
                <w:sz w:val="14"/>
                <w:szCs w:val="14"/>
              </w:rPr>
              <w:t xml:space="preserve">R-02</w:t>
            </w:r>
          </w:p>
        </w:tc>
        <w:tc>
          <w:tcPr>
            <w:tcW w:type="dxa" w:w="1200"/>
            <w:shd w:fill="F2F7FB" w:val="clear"/>
            <w:tcMar>
              <w:top w:type="dxa" w:w="70"/>
              <w:left w:type="dxa" w:w="110"/>
              <w:bottom w:type="dxa" w:w="70"/>
              <w:right w:type="dxa" w:w="110"/>
            </w:tcMar>
            <w:vAlign w:val="center"/>
          </w:tcPr>
          <w:p>
            <w:pPr>
              <w:spacing w:after="0" w:before="0" w:line="276" w:lineRule="auto"/>
            </w:pPr>
            <w:r>
              <w:rPr>
                <w:sz w:val="14"/>
                <w:szCs w:val="14"/>
              </w:rPr>
              <w:t xml:space="preserve">(p. ej.) Dispositivos IoMT — RHM</w:t>
            </w:r>
          </w:p>
        </w:tc>
        <w:tc>
          <w:tcPr>
            <w:tcW w:type="dxa" w:w="1200"/>
            <w:shd w:fill="F2F7FB" w:val="clear"/>
            <w:tcMar>
              <w:top w:type="dxa" w:w="70"/>
              <w:left w:type="dxa" w:w="110"/>
              <w:bottom w:type="dxa" w:w="70"/>
              <w:right w:type="dxa" w:w="110"/>
            </w:tcMar>
            <w:vAlign w:val="center"/>
          </w:tcPr>
          <w:p>
            <w:pPr>
              <w:spacing w:after="0" w:before="0" w:line="276" w:lineRule="auto"/>
            </w:pPr>
            <w:r>
              <w:rPr>
                <w:sz w:val="14"/>
                <w:szCs w:val="14"/>
              </w:rPr>
              <w:t xml:space="preserve">Manipulación o indisponibilidad de equipo médico conectado</w:t>
            </w:r>
          </w:p>
        </w:tc>
        <w:tc>
          <w:tcPr>
            <w:tcW w:type="dxa" w:w="1500"/>
            <w:shd w:fill="F2F7FB" w:val="clear"/>
            <w:tcMar>
              <w:top w:type="dxa" w:w="70"/>
              <w:left w:type="dxa" w:w="110"/>
              <w:bottom w:type="dxa" w:w="70"/>
              <w:right w:type="dxa" w:w="110"/>
            </w:tcMar>
            <w:vAlign w:val="center"/>
          </w:tcPr>
          <w:p>
            <w:pPr>
              <w:spacing w:after="0" w:before="0" w:line="276" w:lineRule="auto"/>
            </w:pPr>
            <w:r>
              <w:rPr>
                <w:sz w:val="14"/>
                <w:szCs w:val="14"/>
              </w:rPr>
              <w:t xml:space="preserve">Ausencia de inventario de dispositivos médicos; software sin actualizar</w:t>
            </w:r>
          </w:p>
        </w:tc>
        <w:tc>
          <w:tcPr>
            <w:tcW w:type="dxa" w:w="400"/>
            <w:shd w:fill="F2F7FB" w:val="clear"/>
            <w:tcMar>
              <w:top w:type="dxa" w:w="70"/>
              <w:left w:type="dxa" w:w="110"/>
              <w:bottom w:type="dxa" w:w="70"/>
              <w:right w:type="dxa" w:w="110"/>
            </w:tcMar>
            <w:vAlign w:val="center"/>
          </w:tcPr>
          <w:p>
            <w:pPr>
              <w:spacing w:after="0" w:before="0" w:line="276" w:lineRule="auto"/>
            </w:pPr>
            <w:r>
              <w:rPr>
                <w:sz w:val="14"/>
                <w:szCs w:val="14"/>
              </w:rPr>
              <w:t xml:space="preserve">4</w:t>
            </w:r>
          </w:p>
        </w:tc>
        <w:tc>
          <w:tcPr>
            <w:tcW w:type="dxa" w:w="400"/>
            <w:shd w:fill="F2F7FB" w:val="clear"/>
            <w:tcMar>
              <w:top w:type="dxa" w:w="70"/>
              <w:left w:type="dxa" w:w="110"/>
              <w:bottom w:type="dxa" w:w="70"/>
              <w:right w:type="dxa" w:w="110"/>
            </w:tcMar>
            <w:vAlign w:val="center"/>
          </w:tcPr>
          <w:p>
            <w:pPr>
              <w:spacing w:after="0" w:before="0" w:line="276" w:lineRule="auto"/>
            </w:pPr>
            <w:r>
              <w:rPr>
                <w:sz w:val="14"/>
                <w:szCs w:val="14"/>
              </w:rPr>
              <w:t xml:space="preserve">5</w:t>
            </w:r>
          </w:p>
        </w:tc>
        <w:tc>
          <w:tcPr>
            <w:tcW w:type="dxa" w:w="1500"/>
            <w:shd w:fill="F2F7FB" w:val="clear"/>
            <w:tcMar>
              <w:top w:type="dxa" w:w="70"/>
              <w:left w:type="dxa" w:w="110"/>
              <w:bottom w:type="dxa" w:w="70"/>
              <w:right w:type="dxa" w:w="110"/>
            </w:tcMar>
            <w:vAlign w:val="center"/>
          </w:tcPr>
          <w:p>
            <w:pPr>
              <w:spacing w:after="0" w:before="0" w:line="276" w:lineRule="auto"/>
            </w:pPr>
            <w:r>
              <w:rPr>
                <w:sz w:val="14"/>
                <w:szCs w:val="14"/>
              </w:rPr>
              <w:t xml:space="preserve">P: equipos expuestos sin inventario · I: afecta la seguridad de las personas</w:t>
            </w:r>
          </w:p>
        </w:tc>
        <w:tc>
          <w:tcPr>
            <w:tcW w:type="dxa" w:w="950"/>
            <w:shd w:fill="F2F7FB" w:val="clear"/>
            <w:tcMar>
              <w:top w:type="dxa" w:w="70"/>
              <w:left w:type="dxa" w:w="110"/>
              <w:bottom w:type="dxa" w:w="70"/>
              <w:right w:type="dxa" w:w="110"/>
            </w:tcMar>
            <w:vAlign w:val="center"/>
          </w:tcPr>
          <w:p>
            <w:pPr>
              <w:spacing w:after="0" w:before="0" w:line="276" w:lineRule="auto"/>
            </w:pPr>
            <w:r>
              <w:rPr>
                <w:sz w:val="14"/>
                <w:szCs w:val="14"/>
              </w:rPr>
              <w:t xml:space="preserve">20 · Crítico</w:t>
            </w:r>
          </w:p>
        </w:tc>
        <w:tc>
          <w:tcPr>
            <w:tcW w:type="dxa" w:w="900"/>
            <w:shd w:fill="F2F7FB" w:val="clear"/>
            <w:tcMar>
              <w:top w:type="dxa" w:w="70"/>
              <w:left w:type="dxa" w:w="110"/>
              <w:bottom w:type="dxa" w:w="70"/>
              <w:right w:type="dxa" w:w="110"/>
            </w:tcMar>
            <w:vAlign w:val="center"/>
          </w:tcPr>
          <w:p>
            <w:pPr>
              <w:spacing w:after="0" w:before="0" w:line="276" w:lineRule="auto"/>
            </w:pPr>
            <w:r>
              <w:rPr>
                <w:sz w:val="14"/>
                <w:szCs w:val="14"/>
              </w:rPr>
              <w:t xml:space="preserve">Mitigar</w:t>
            </w:r>
          </w:p>
        </w:tc>
        <w:tc>
          <w:tcPr>
            <w:tcW w:type="dxa" w:w="850"/>
            <w:shd w:fill="F2F7FB" w:val="clear"/>
            <w:tcMar>
              <w:top w:type="dxa" w:w="70"/>
              <w:left w:type="dxa" w:w="110"/>
              <w:bottom w:type="dxa" w:w="70"/>
              <w:right w:type="dxa" w:w="110"/>
            </w:tcMar>
            <w:vAlign w:val="center"/>
          </w:tcPr>
          <w:p>
            <w:pPr>
              <w:spacing w:after="0" w:before="0" w:line="276" w:lineRule="auto"/>
            </w:pPr>
            <w:r>
              <w:rPr>
                <w:sz w:val="14"/>
                <w:szCs w:val="14"/>
              </w:rPr>
              <w:t xml:space="preserve">1 y 7</w:t>
            </w:r>
          </w:p>
        </w:tc>
        <w:tc>
          <w:tcPr>
            <w:tcW w:type="dxa" w:w="486"/>
            <w:shd w:fill="F2F7FB" w:val="clear"/>
            <w:tcMar>
              <w:top w:type="dxa" w:w="70"/>
              <w:left w:type="dxa" w:w="110"/>
              <w:bottom w:type="dxa" w:w="70"/>
              <w:right w:type="dxa" w:w="110"/>
            </w:tcMar>
            <w:vAlign w:val="center"/>
          </w:tcPr>
          <w:p>
            <w:pPr>
              <w:spacing w:after="0" w:before="0" w:line="276" w:lineRule="auto"/>
            </w:pPr>
            <w:r>
              <w:rPr>
                <w:sz w:val="14"/>
                <w:szCs w:val="14"/>
              </w:rPr>
              <w:t xml:space="preserve">2×4 = 8 · Medio</w:t>
            </w:r>
          </w:p>
        </w:tc>
      </w:tr>
      <w:tr>
        <w:trPr>
          <w:cantSplit/>
        </w:trPr>
        <w:tc>
          <w:tcPr>
            <w:tcW w:type="dxa" w:w="55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2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2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5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4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4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5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95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90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850"/>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486"/>
            <w:tcMar>
              <w:top w:type="dxa" w:w="70"/>
              <w:left w:type="dxa" w:w="110"/>
              <w:bottom w:type="dxa" w:w="70"/>
              <w:right w:type="dxa" w:w="110"/>
            </w:tcMar>
            <w:vAlign w:val="center"/>
          </w:tcPr>
          <w:p>
            <w:pPr>
              <w:spacing w:after="0" w:before="0" w:line="276" w:lineRule="auto"/>
            </w:pPr>
            <w:r>
              <w:rPr>
                <w:sz w:val="14"/>
                <w:szCs w:val="14"/>
              </w:rPr>
              <w:t xml:space="preserve">…</w:t>
            </w:r>
          </w:p>
        </w:tc>
      </w:tr>
    </w:tbl>
    <w:p>
      <w:pPr>
        <w:pStyle w:val="Heading2"/>
      </w:pPr>
      <w:r>
        <w:t xml:space="preserve">D.5-bis Mapa de calor de la organización (ID de cada riesgo en su celda)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687"/>
        <w:gridCol w:w="1687"/>
        <w:gridCol w:w="1687"/>
        <w:gridCol w:w="1687"/>
        <w:gridCol w:w="1688"/>
      </w:tblGrid>
      <w:tr>
        <w:trPr>
          <w:tblHeader/>
        </w:trPr>
        <w:tc>
          <w:tcPr>
            <w:tcW w:type="dxa" w:w="1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 \ I</w:t>
            </w:r>
          </w:p>
        </w:tc>
        <w:tc>
          <w:tcPr>
            <w:tcW w:type="dxa" w:w="1687"/>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1 Insignificante</w:t>
            </w:r>
          </w:p>
        </w:tc>
        <w:tc>
          <w:tcPr>
            <w:tcW w:type="dxa" w:w="1687"/>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2 Menor</w:t>
            </w:r>
          </w:p>
        </w:tc>
        <w:tc>
          <w:tcPr>
            <w:tcW w:type="dxa" w:w="1687"/>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3 Moderado</w:t>
            </w:r>
          </w:p>
        </w:tc>
        <w:tc>
          <w:tcPr>
            <w:tcW w:type="dxa" w:w="1687"/>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4 Mayor</w:t>
            </w:r>
          </w:p>
        </w:tc>
        <w:tc>
          <w:tcPr>
            <w:tcW w:type="dxa" w:w="168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5 Catastrófico</w:t>
            </w:r>
          </w:p>
        </w:tc>
      </w:tr>
      <w:tr>
        <w:trPr>
          <w:cantSplit/>
        </w:trPr>
        <w:tc>
          <w:tcPr>
            <w:tcW w:type="dxa" w:w="1500"/>
            <w:tcMar>
              <w:top w:type="dxa" w:w="70"/>
              <w:left w:type="dxa" w:w="110"/>
              <w:bottom w:type="dxa" w:w="70"/>
              <w:right w:type="dxa" w:w="110"/>
            </w:tcMar>
            <w:vAlign w:val="center"/>
          </w:tcPr>
          <w:p>
            <w:pPr>
              <w:spacing w:after="0" w:before="0" w:line="276" w:lineRule="auto"/>
            </w:pPr>
            <w:r>
              <w:rPr>
                <w:sz w:val="15"/>
                <w:szCs w:val="15"/>
              </w:rPr>
              <w:t xml:space="preserve">5 Casi seguro</w:t>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8"/>
            <w:tcMar>
              <w:top w:type="dxa" w:w="70"/>
              <w:left w:type="dxa" w:w="110"/>
              <w:bottom w:type="dxa" w:w="70"/>
              <w:right w:type="dxa" w:w="110"/>
            </w:tcMar>
            <w:vAlign w:val="center"/>
          </w:tcPr>
          <w:p>
            <w:pPr>
              <w:spacing w:after="0" w:before="0" w:line="276" w:lineRule="auto"/>
            </w:pPr>
            <w:r>
              <w:rPr>
                <w:sz w:val="15"/>
                <w:szCs w:val="15"/>
              </w:rPr>
              <w:t xml:space="preserve"/>
            </w:r>
          </w:p>
        </w:tc>
      </w:tr>
      <w:tr>
        <w:trPr>
          <w:cantSplit/>
        </w:trPr>
        <w:tc>
          <w:tcPr>
            <w:tcW w:type="dxa" w:w="1500"/>
            <w:shd w:fill="F2F7FB" w:val="clear"/>
            <w:tcMar>
              <w:top w:type="dxa" w:w="70"/>
              <w:left w:type="dxa" w:w="110"/>
              <w:bottom w:type="dxa" w:w="70"/>
              <w:right w:type="dxa" w:w="110"/>
            </w:tcMar>
            <w:vAlign w:val="center"/>
          </w:tcPr>
          <w:p>
            <w:pPr>
              <w:spacing w:after="0" w:before="0" w:line="276" w:lineRule="auto"/>
            </w:pPr>
            <w:r>
              <w:rPr>
                <w:sz w:val="15"/>
                <w:szCs w:val="15"/>
              </w:rPr>
              <w:t xml:space="preserve">4 Probable</w:t>
            </w:r>
          </w:p>
        </w:tc>
        <w:tc>
          <w:tcPr>
            <w:tcW w:type="dxa" w:w="1687"/>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8"/>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r>
      <w:tr>
        <w:trPr>
          <w:cantSplit/>
        </w:trPr>
        <w:tc>
          <w:tcPr>
            <w:tcW w:type="dxa" w:w="1500"/>
            <w:tcMar>
              <w:top w:type="dxa" w:w="70"/>
              <w:left w:type="dxa" w:w="110"/>
              <w:bottom w:type="dxa" w:w="70"/>
              <w:right w:type="dxa" w:w="110"/>
            </w:tcMar>
            <w:vAlign w:val="center"/>
          </w:tcPr>
          <w:p>
            <w:pPr>
              <w:spacing w:after="0" w:before="0" w:line="276" w:lineRule="auto"/>
            </w:pPr>
            <w:r>
              <w:rPr>
                <w:sz w:val="15"/>
                <w:szCs w:val="15"/>
              </w:rPr>
              <w:t xml:space="preserve">3 Posible</w:t>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8"/>
            <w:tcMar>
              <w:top w:type="dxa" w:w="70"/>
              <w:left w:type="dxa" w:w="110"/>
              <w:bottom w:type="dxa" w:w="70"/>
              <w:right w:type="dxa" w:w="110"/>
            </w:tcMar>
            <w:vAlign w:val="center"/>
          </w:tcPr>
          <w:p>
            <w:pPr>
              <w:spacing w:after="0" w:before="0" w:line="276" w:lineRule="auto"/>
            </w:pPr>
            <w:r>
              <w:rPr>
                <w:sz w:val="15"/>
                <w:szCs w:val="15"/>
              </w:rPr>
              <w:t xml:space="preserve"/>
            </w:r>
          </w:p>
        </w:tc>
      </w:tr>
      <w:tr>
        <w:trPr>
          <w:cantSplit/>
        </w:trPr>
        <w:tc>
          <w:tcPr>
            <w:tcW w:type="dxa" w:w="1500"/>
            <w:shd w:fill="F2F7FB" w:val="clear"/>
            <w:tcMar>
              <w:top w:type="dxa" w:w="70"/>
              <w:left w:type="dxa" w:w="110"/>
              <w:bottom w:type="dxa" w:w="70"/>
              <w:right w:type="dxa" w:w="110"/>
            </w:tcMar>
            <w:vAlign w:val="center"/>
          </w:tcPr>
          <w:p>
            <w:pPr>
              <w:spacing w:after="0" w:before="0" w:line="276" w:lineRule="auto"/>
            </w:pPr>
            <w:r>
              <w:rPr>
                <w:sz w:val="15"/>
                <w:szCs w:val="15"/>
              </w:rPr>
              <w:t xml:space="preserve">2 Improbable</w:t>
            </w:r>
          </w:p>
        </w:tc>
        <w:tc>
          <w:tcPr>
            <w:tcW w:type="dxa" w:w="1687"/>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8"/>
            <w:shd w:fill="F2F7FB" w:val="clear"/>
            <w:tcMar>
              <w:top w:type="dxa" w:w="70"/>
              <w:left w:type="dxa" w:w="110"/>
              <w:bottom w:type="dxa" w:w="70"/>
              <w:right w:type="dxa" w:w="110"/>
            </w:tcMar>
            <w:vAlign w:val="center"/>
          </w:tcPr>
          <w:p>
            <w:pPr>
              <w:spacing w:after="0" w:before="0" w:line="276" w:lineRule="auto"/>
            </w:pPr>
            <w:r>
              <w:rPr>
                <w:sz w:val="15"/>
                <w:szCs w:val="15"/>
              </w:rPr>
              <w:t xml:space="preserve"/>
            </w:r>
          </w:p>
        </w:tc>
      </w:tr>
      <w:tr>
        <w:trPr>
          <w:cantSplit/>
        </w:trPr>
        <w:tc>
          <w:tcPr>
            <w:tcW w:type="dxa" w:w="1500"/>
            <w:tcMar>
              <w:top w:type="dxa" w:w="70"/>
              <w:left w:type="dxa" w:w="110"/>
              <w:bottom w:type="dxa" w:w="70"/>
              <w:right w:type="dxa" w:w="110"/>
            </w:tcMar>
            <w:vAlign w:val="center"/>
          </w:tcPr>
          <w:p>
            <w:pPr>
              <w:spacing w:after="0" w:before="0" w:line="276" w:lineRule="auto"/>
            </w:pPr>
            <w:r>
              <w:rPr>
                <w:sz w:val="15"/>
                <w:szCs w:val="15"/>
              </w:rPr>
              <w:t xml:space="preserve">1 Excepcional</w:t>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7"/>
            <w:tcMar>
              <w:top w:type="dxa" w:w="70"/>
              <w:left w:type="dxa" w:w="110"/>
              <w:bottom w:type="dxa" w:w="70"/>
              <w:right w:type="dxa" w:w="110"/>
            </w:tcMar>
            <w:vAlign w:val="center"/>
          </w:tcPr>
          <w:p>
            <w:pPr>
              <w:spacing w:after="0" w:before="0" w:line="276" w:lineRule="auto"/>
            </w:pPr>
            <w:r>
              <w:rPr>
                <w:sz w:val="15"/>
                <w:szCs w:val="15"/>
              </w:rPr>
              <w:t xml:space="preserve"/>
            </w:r>
          </w:p>
        </w:tc>
        <w:tc>
          <w:tcPr>
            <w:tcW w:type="dxa" w:w="1688"/>
            <w:tcMar>
              <w:top w:type="dxa" w:w="70"/>
              <w:left w:type="dxa" w:w="110"/>
              <w:bottom w:type="dxa" w:w="70"/>
              <w:right w:type="dxa" w:w="110"/>
            </w:tcMar>
            <w:vAlign w:val="center"/>
          </w:tcPr>
          <w:p>
            <w:pPr>
              <w:spacing w:after="0" w:before="0" w:line="276" w:lineRule="auto"/>
            </w:pPr>
            <w:r>
              <w:rPr>
                <w:sz w:val="15"/>
                <w:szCs w:val="15"/>
              </w:rPr>
              <w:t xml:space="preserve"/>
            </w:r>
          </w:p>
        </w:tc>
      </w:tr>
    </w:tbl>
    <w:p>
      <w:pPr>
        <w:pStyle w:val="Heading2"/>
      </w:pPr>
      <w:r>
        <w:t xml:space="preserve">D.6 Cuantificación de los riesgos Críticos: continuación del BIA (frontera del Paso 9 de la Guía BIA)</w:t>
      </w:r>
    </w:p>
    <w:p>
      <w:pPr>
        <w:spacing w:after="120" w:before="40" w:line="276" w:lineRule="auto"/>
      </w:pPr>
      <w:r>
        <w:t xml:space="preserve">El BIA (E.03, tabla B.2) entrega el SLE = AV × EF de cada proceso crítico y el SLE de exposición de datos de cada proceso importante con los datos personales que cuantifica la ficha. La matriz de riesgos añade lo que el BIA deja fuera por diseño: la frecuencia. Para cada riesgo Crítico se completa la justificación del control en los cinco pasos de la Guía BIA: (1) ALE actual = SLE × ARO sin control adicional; (2) efectividad del control, como reducción del ARO o del EF sustentada en especificaciones o estudios; (3) ALE con el control operando; (4) beneficio = ALE actual − ALE con control; (5) costo anual del control (ACC) en sus tres familias: adquisición anualizada, operación y mantenimiento. El retorno se expresa como ROSI = (Beneficio − ACC) ÷ ACC, y el control se justifica cuando el ACC es menor que la reducción de ALE que produce. Los supuestos (AV, EF, ARO) se varían en los escenarios mínimo, esperado y máximo de B.5.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900"/>
        <w:gridCol w:w="700"/>
        <w:gridCol w:w="900"/>
        <w:gridCol w:w="1100"/>
        <w:gridCol w:w="800"/>
        <w:gridCol w:w="900"/>
        <w:gridCol w:w="900"/>
        <w:gridCol w:w="1300"/>
        <w:gridCol w:w="736"/>
      </w:tblGrid>
      <w:tr>
        <w:trPr>
          <w:tblHeader/>
        </w:trPr>
        <w:tc>
          <w:tcPr>
            <w:tcW w:type="dxa" w:w="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Riesgo</w:t>
            </w:r>
          </w:p>
        </w:tc>
        <w:tc>
          <w:tcPr>
            <w:tcW w:type="dxa" w:w="1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Proceso · escenario (SLE-nn de E.03)</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SLE (USD)</w:t>
            </w:r>
          </w:p>
        </w:tc>
        <w:tc>
          <w:tcPr>
            <w:tcW w:type="dxa" w:w="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ARO actual</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ALE actual</w:t>
            </w:r>
          </w:p>
        </w:tc>
        <w:tc>
          <w:tcPr>
            <w:tcW w:type="dxa" w:w="11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Efectividad</w:t>
            </w:r>
          </w:p>
        </w:tc>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ARO con control</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ALE con control</w:t>
            </w:r>
          </w:p>
        </w:tc>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Beneficio</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ACC (adq. + oper. + mant.)</w:t>
            </w:r>
          </w:p>
        </w:tc>
        <w:tc>
          <w:tcPr>
            <w:tcW w:type="dxa" w:w="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ROSI</w:t>
            </w:r>
          </w:p>
        </w:tc>
      </w:tr>
      <w:tr>
        <w:trPr>
          <w:cantSplit/>
        </w:trPr>
        <w:tc>
          <w:tcPr>
            <w:tcW w:type="dxa" w:w="600"/>
            <w:tcMar>
              <w:top w:type="dxa" w:w="70"/>
              <w:left w:type="dxa" w:w="110"/>
              <w:bottom w:type="dxa" w:w="70"/>
              <w:right w:type="dxa" w:w="110"/>
            </w:tcMar>
            <w:vAlign w:val="center"/>
          </w:tcPr>
          <w:p>
            <w:pPr>
              <w:spacing w:after="0" w:before="0" w:line="276" w:lineRule="auto"/>
            </w:pPr>
            <w:r>
              <w:rPr>
                <w:sz w:val="14"/>
                <w:szCs w:val="14"/>
              </w:rPr>
              <w:t xml:space="preserve">R-01</w:t>
            </w:r>
          </w:p>
        </w:tc>
        <w:tc>
          <w:tcPr>
            <w:tcW w:type="dxa" w:w="1100"/>
            <w:tcMar>
              <w:top w:type="dxa" w:w="70"/>
              <w:left w:type="dxa" w:w="110"/>
              <w:bottom w:type="dxa" w:w="70"/>
              <w:right w:type="dxa" w:w="110"/>
            </w:tcMar>
            <w:vAlign w:val="center"/>
          </w:tcPr>
          <w:p>
            <w:pPr>
              <w:spacing w:after="0" w:before="0" w:line="276" w:lineRule="auto"/>
            </w:pPr>
            <w:r>
              <w:rPr>
                <w:sz w:val="14"/>
                <w:szCs w:val="14"/>
              </w:rPr>
              <w:t xml:space="preserve">EHR — RHM · SLE-01</w:t>
            </w:r>
          </w:p>
        </w:tc>
        <w:tc>
          <w:tcPr>
            <w:tcW w:type="dxa" w:w="900"/>
            <w:tcMar>
              <w:top w:type="dxa" w:w="70"/>
              <w:left w:type="dxa" w:w="110"/>
              <w:bottom w:type="dxa" w:w="70"/>
              <w:right w:type="dxa" w:w="110"/>
            </w:tcMar>
            <w:vAlign w:val="center"/>
          </w:tcPr>
          <w:p>
            <w:pPr>
              <w:spacing w:after="0" w:before="0" w:line="276" w:lineRule="auto"/>
            </w:pPr>
            <w:r>
              <w:rPr>
                <w:sz w:val="14"/>
                <w:szCs w:val="14"/>
              </w:rPr>
              <w:t xml:space="preserve">400 000</w:t>
            </w:r>
          </w:p>
        </w:tc>
        <w:tc>
          <w:tcPr>
            <w:tcW w:type="dxa" w:w="700"/>
            <w:tcMar>
              <w:top w:type="dxa" w:w="70"/>
              <w:left w:type="dxa" w:w="110"/>
              <w:bottom w:type="dxa" w:w="70"/>
              <w:right w:type="dxa" w:w="110"/>
            </w:tcMar>
            <w:vAlign w:val="center"/>
          </w:tcPr>
          <w:p>
            <w:pPr>
              <w:spacing w:after="0" w:before="0" w:line="276" w:lineRule="auto"/>
            </w:pPr>
            <w:r>
              <w:rPr>
                <w:sz w:val="14"/>
                <w:szCs w:val="14"/>
              </w:rPr>
              <w:t xml:space="preserve">0,4</w:t>
            </w:r>
          </w:p>
        </w:tc>
        <w:tc>
          <w:tcPr>
            <w:tcW w:type="dxa" w:w="900"/>
            <w:tcMar>
              <w:top w:type="dxa" w:w="70"/>
              <w:left w:type="dxa" w:w="110"/>
              <w:bottom w:type="dxa" w:w="70"/>
              <w:right w:type="dxa" w:w="110"/>
            </w:tcMar>
            <w:vAlign w:val="center"/>
          </w:tcPr>
          <w:p>
            <w:pPr>
              <w:spacing w:after="0" w:before="0" w:line="276" w:lineRule="auto"/>
            </w:pPr>
            <w:r>
              <w:rPr>
                <w:sz w:val="14"/>
                <w:szCs w:val="14"/>
              </w:rPr>
              <w:t xml:space="preserve">160 000</w:t>
            </w:r>
          </w:p>
        </w:tc>
        <w:tc>
          <w:tcPr>
            <w:tcW w:type="dxa" w:w="1100"/>
            <w:tcMar>
              <w:top w:type="dxa" w:w="70"/>
              <w:left w:type="dxa" w:w="110"/>
              <w:bottom w:type="dxa" w:w="70"/>
              <w:right w:type="dxa" w:w="110"/>
            </w:tcMar>
            <w:vAlign w:val="center"/>
          </w:tcPr>
          <w:p>
            <w:pPr>
              <w:spacing w:after="0" w:before="0" w:line="276" w:lineRule="auto"/>
            </w:pPr>
            <w:r>
              <w:rPr>
                <w:sz w:val="14"/>
                <w:szCs w:val="14"/>
              </w:rPr>
              <w:t xml:space="preserve">ARO 0,4 → 0,15</w:t>
            </w:r>
          </w:p>
        </w:tc>
        <w:tc>
          <w:tcPr>
            <w:tcW w:type="dxa" w:w="800"/>
            <w:tcMar>
              <w:top w:type="dxa" w:w="70"/>
              <w:left w:type="dxa" w:w="110"/>
              <w:bottom w:type="dxa" w:w="70"/>
              <w:right w:type="dxa" w:w="110"/>
            </w:tcMar>
            <w:vAlign w:val="center"/>
          </w:tcPr>
          <w:p>
            <w:pPr>
              <w:spacing w:after="0" w:before="0" w:line="276" w:lineRule="auto"/>
            </w:pPr>
            <w:r>
              <w:rPr>
                <w:sz w:val="14"/>
                <w:szCs w:val="14"/>
              </w:rPr>
              <w:t xml:space="preserve">0,15</w:t>
            </w:r>
          </w:p>
        </w:tc>
        <w:tc>
          <w:tcPr>
            <w:tcW w:type="dxa" w:w="900"/>
            <w:tcMar>
              <w:top w:type="dxa" w:w="70"/>
              <w:left w:type="dxa" w:w="110"/>
              <w:bottom w:type="dxa" w:w="70"/>
              <w:right w:type="dxa" w:w="110"/>
            </w:tcMar>
            <w:vAlign w:val="center"/>
          </w:tcPr>
          <w:p>
            <w:pPr>
              <w:spacing w:after="0" w:before="0" w:line="276" w:lineRule="auto"/>
            </w:pPr>
            <w:r>
              <w:rPr>
                <w:sz w:val="14"/>
                <w:szCs w:val="14"/>
              </w:rPr>
              <w:t xml:space="preserve">60 000</w:t>
            </w:r>
          </w:p>
        </w:tc>
        <w:tc>
          <w:tcPr>
            <w:tcW w:type="dxa" w:w="900"/>
            <w:tcMar>
              <w:top w:type="dxa" w:w="70"/>
              <w:left w:type="dxa" w:w="110"/>
              <w:bottom w:type="dxa" w:w="70"/>
              <w:right w:type="dxa" w:w="110"/>
            </w:tcMar>
            <w:vAlign w:val="center"/>
          </w:tcPr>
          <w:p>
            <w:pPr>
              <w:spacing w:after="0" w:before="0" w:line="276" w:lineRule="auto"/>
            </w:pPr>
            <w:r>
              <w:rPr>
                <w:sz w:val="14"/>
                <w:szCs w:val="14"/>
              </w:rPr>
              <w:t xml:space="preserve">100 000</w:t>
            </w:r>
          </w:p>
        </w:tc>
        <w:tc>
          <w:tcPr>
            <w:tcW w:type="dxa" w:w="1300"/>
            <w:tcMar>
              <w:top w:type="dxa" w:w="70"/>
              <w:left w:type="dxa" w:w="110"/>
              <w:bottom w:type="dxa" w:w="70"/>
              <w:right w:type="dxa" w:w="110"/>
            </w:tcMar>
            <w:vAlign w:val="center"/>
          </w:tcPr>
          <w:p>
            <w:pPr>
              <w:spacing w:after="0" w:before="0" w:line="276" w:lineRule="auto"/>
            </w:pPr>
            <w:r>
              <w:rPr>
                <w:sz w:val="14"/>
                <w:szCs w:val="14"/>
              </w:rPr>
              <w:t xml:space="preserve">45 000</w:t>
            </w:r>
          </w:p>
        </w:tc>
        <w:tc>
          <w:tcPr>
            <w:tcW w:type="dxa" w:w="736"/>
            <w:tcMar>
              <w:top w:type="dxa" w:w="70"/>
              <w:left w:type="dxa" w:w="110"/>
              <w:bottom w:type="dxa" w:w="70"/>
              <w:right w:type="dxa" w:w="110"/>
            </w:tcMar>
            <w:vAlign w:val="center"/>
          </w:tcPr>
          <w:p>
            <w:pPr>
              <w:spacing w:after="0" w:before="0" w:line="276" w:lineRule="auto"/>
            </w:pPr>
            <w:r>
              <w:rPr>
                <w:sz w:val="14"/>
                <w:szCs w:val="14"/>
              </w:rPr>
              <w:t xml:space="preserve">122 %</w:t>
            </w:r>
          </w:p>
        </w:tc>
      </w:tr>
      <w:tr>
        <w:trPr>
          <w:cantSplit/>
        </w:trPr>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1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9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7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9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1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8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9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9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3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736"/>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r>
    </w:tbl>
    <w:p>
      <w:pPr>
        <w:spacing w:after="120" w:before="40" w:line="276" w:lineRule="auto"/>
      </w:pPr>
      <w:r>
        <w:t xml:space="preserve">Convención de estimación del proyecto (se aplica salvo que el equipo cite una fuente mejor, que entonces se referencia con edición y año): el ARO se deriva del nivel de probabilidad de D.1 —5 ≈ 1 evento al año · 4 ≈ 0,5 · 3 ≈ 0,2 · 2 ≈ 0,1 · 1 ≈ 0,05—; la efectividad del control se expresa como la reducción de al menos un nivel de probabilidad (o del factor de exposición) justificada en una línea; el costo de adquisición se anualiza sobre una vida útil de cinco años. La tabla D.6 se completa para los riesgos Críticos y, cuando hay menos de tres Críticos, también para los Altos de nivel 15 o 16. Los ALE no se suman entre riesgos que comparten proceso: la exposición del proceso es el mayor de ellos. El ROSI decide si un control se justifica, y el orden de implantación se decide por beneficio absoluto y por dependencias.</w:t>
      </w:r>
    </w:p>
    <w:p>
      <w:pPr>
        <w:pStyle w:val="Heading2"/>
      </w:pPr>
      <w:r>
        <w:t xml:space="preserve">D.7 Sensibilidad del ARO (Paso 12 de la Guía BIA aplicado a la frecuencia)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800"/>
        <w:gridCol w:w="800"/>
        <w:gridCol w:w="1900"/>
        <w:gridCol w:w="1900"/>
        <w:gridCol w:w="800"/>
        <w:gridCol w:w="2336"/>
      </w:tblGrid>
      <w:tr>
        <w:trPr>
          <w:tblHeader/>
        </w:trPr>
        <w:tc>
          <w:tcPr>
            <w:tcW w:type="dxa" w:w="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Riesgo</w:t>
            </w:r>
          </w:p>
        </w:tc>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ARO mínimo</w:t>
            </w:r>
          </w:p>
        </w:tc>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ARO esperado</w:t>
            </w:r>
          </w:p>
        </w:tc>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ARO máximo</w:t>
            </w:r>
          </w:p>
        </w:tc>
        <w:tc>
          <w:tcPr>
            <w:tcW w:type="dxa" w:w="1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ALE actual (mín / esp / máx)</w:t>
            </w:r>
          </w:p>
        </w:tc>
        <w:tc>
          <w:tcPr>
            <w:tcW w:type="dxa" w:w="1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Beneficio (mín / esp / máx)</w:t>
            </w:r>
          </w:p>
        </w:tc>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ACC</w:t>
            </w:r>
          </w:p>
        </w:tc>
        <w:tc>
          <w:tcPr>
            <w:tcW w:type="dxa" w:w="2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¿El control se justifica en los tres escenarios?</w:t>
            </w:r>
          </w:p>
        </w:tc>
      </w:tr>
      <w:tr>
        <w:trPr>
          <w:cantSplit/>
        </w:trPr>
        <w:tc>
          <w:tcPr>
            <w:tcW w:type="dxa" w:w="600"/>
            <w:tcMar>
              <w:top w:type="dxa" w:w="70"/>
              <w:left w:type="dxa" w:w="110"/>
              <w:bottom w:type="dxa" w:w="70"/>
              <w:right w:type="dxa" w:w="110"/>
            </w:tcMar>
            <w:vAlign w:val="center"/>
          </w:tcPr>
          <w:p>
            <w:pPr>
              <w:spacing w:after="0" w:before="0" w:line="276" w:lineRule="auto"/>
            </w:pPr>
            <w:r>
              <w:rPr>
                <w:sz w:val="14"/>
                <w:szCs w:val="14"/>
              </w:rPr>
              <w:t xml:space="preserve">R-01</w:t>
            </w:r>
          </w:p>
        </w:tc>
        <w:tc>
          <w:tcPr>
            <w:tcW w:type="dxa" w:w="800"/>
            <w:tcMar>
              <w:top w:type="dxa" w:w="70"/>
              <w:left w:type="dxa" w:w="110"/>
              <w:bottom w:type="dxa" w:w="70"/>
              <w:right w:type="dxa" w:w="110"/>
            </w:tcMar>
            <w:vAlign w:val="center"/>
          </w:tcPr>
          <w:p>
            <w:pPr>
              <w:spacing w:after="0" w:before="0" w:line="276" w:lineRule="auto"/>
            </w:pPr>
            <w:r>
              <w:rPr>
                <w:sz w:val="14"/>
                <w:szCs w:val="14"/>
              </w:rPr>
              <w:t xml:space="preserve">0,2</w:t>
            </w:r>
          </w:p>
        </w:tc>
        <w:tc>
          <w:tcPr>
            <w:tcW w:type="dxa" w:w="800"/>
            <w:tcMar>
              <w:top w:type="dxa" w:w="70"/>
              <w:left w:type="dxa" w:w="110"/>
              <w:bottom w:type="dxa" w:w="70"/>
              <w:right w:type="dxa" w:w="110"/>
            </w:tcMar>
            <w:vAlign w:val="center"/>
          </w:tcPr>
          <w:p>
            <w:pPr>
              <w:spacing w:after="0" w:before="0" w:line="276" w:lineRule="auto"/>
            </w:pPr>
            <w:r>
              <w:rPr>
                <w:sz w:val="14"/>
                <w:szCs w:val="14"/>
              </w:rPr>
              <w:t xml:space="preserve">0,4</w:t>
            </w:r>
          </w:p>
        </w:tc>
        <w:tc>
          <w:tcPr>
            <w:tcW w:type="dxa" w:w="800"/>
            <w:tcMar>
              <w:top w:type="dxa" w:w="70"/>
              <w:left w:type="dxa" w:w="110"/>
              <w:bottom w:type="dxa" w:w="70"/>
              <w:right w:type="dxa" w:w="110"/>
            </w:tcMar>
            <w:vAlign w:val="center"/>
          </w:tcPr>
          <w:p>
            <w:pPr>
              <w:spacing w:after="0" w:before="0" w:line="276" w:lineRule="auto"/>
            </w:pPr>
            <w:r>
              <w:rPr>
                <w:sz w:val="14"/>
                <w:szCs w:val="14"/>
              </w:rPr>
              <w:t xml:space="preserve">0,6</w:t>
            </w:r>
          </w:p>
        </w:tc>
        <w:tc>
          <w:tcPr>
            <w:tcW w:type="dxa" w:w="1900"/>
            <w:tcMar>
              <w:top w:type="dxa" w:w="70"/>
              <w:left w:type="dxa" w:w="110"/>
              <w:bottom w:type="dxa" w:w="70"/>
              <w:right w:type="dxa" w:w="110"/>
            </w:tcMar>
            <w:vAlign w:val="center"/>
          </w:tcPr>
          <w:p>
            <w:pPr>
              <w:spacing w:after="0" w:before="0" w:line="276" w:lineRule="auto"/>
            </w:pPr>
            <w:r>
              <w:rPr>
                <w:sz w:val="14"/>
                <w:szCs w:val="14"/>
              </w:rPr>
              <w:t xml:space="preserve">80 000 / 160 000 / 240 000</w:t>
            </w:r>
          </w:p>
        </w:tc>
        <w:tc>
          <w:tcPr>
            <w:tcW w:type="dxa" w:w="1900"/>
            <w:tcMar>
              <w:top w:type="dxa" w:w="70"/>
              <w:left w:type="dxa" w:w="110"/>
              <w:bottom w:type="dxa" w:w="70"/>
              <w:right w:type="dxa" w:w="110"/>
            </w:tcMar>
            <w:vAlign w:val="center"/>
          </w:tcPr>
          <w:p>
            <w:pPr>
              <w:spacing w:after="0" w:before="0" w:line="276" w:lineRule="auto"/>
            </w:pPr>
            <w:r>
              <w:rPr>
                <w:sz w:val="14"/>
                <w:szCs w:val="14"/>
              </w:rPr>
              <w:t xml:space="preserve">20 000 / 100 000 / 180 000</w:t>
            </w:r>
          </w:p>
        </w:tc>
        <w:tc>
          <w:tcPr>
            <w:tcW w:type="dxa" w:w="800"/>
            <w:tcMar>
              <w:top w:type="dxa" w:w="70"/>
              <w:left w:type="dxa" w:w="110"/>
              <w:bottom w:type="dxa" w:w="70"/>
              <w:right w:type="dxa" w:w="110"/>
            </w:tcMar>
            <w:vAlign w:val="center"/>
          </w:tcPr>
          <w:p>
            <w:pPr>
              <w:spacing w:after="0" w:before="0" w:line="276" w:lineRule="auto"/>
            </w:pPr>
            <w:r>
              <w:rPr>
                <w:sz w:val="14"/>
                <w:szCs w:val="14"/>
              </w:rPr>
              <w:t xml:space="preserve">45 000</w:t>
            </w:r>
          </w:p>
        </w:tc>
        <w:tc>
          <w:tcPr>
            <w:tcW w:type="dxa" w:w="2336"/>
            <w:tcMar>
              <w:top w:type="dxa" w:w="70"/>
              <w:left w:type="dxa" w:w="110"/>
              <w:bottom w:type="dxa" w:w="70"/>
              <w:right w:type="dxa" w:w="110"/>
            </w:tcMar>
            <w:vAlign w:val="center"/>
          </w:tcPr>
          <w:p>
            <w:pPr>
              <w:spacing w:after="0" w:before="0" w:line="276" w:lineRule="auto"/>
            </w:pPr>
            <w:r>
              <w:rPr>
                <w:sz w:val="14"/>
                <w:szCs w:val="14"/>
              </w:rPr>
              <w:t xml:space="preserve">No en el mínimo: la recomendación depende del ARO; el informe lo dice con esas palabras</w:t>
            </w:r>
          </w:p>
        </w:tc>
      </w:tr>
      <w:tr>
        <w:trPr>
          <w:cantSplit/>
        </w:trPr>
        <w:tc>
          <w:tcPr>
            <w:tcW w:type="dxa" w:w="6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8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8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8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9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19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800"/>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c>
          <w:tcPr>
            <w:tcW w:type="dxa" w:w="2336"/>
            <w:shd w:fill="F2F7FB" w:val="clear"/>
            <w:tcMar>
              <w:top w:type="dxa" w:w="70"/>
              <w:left w:type="dxa" w:w="110"/>
              <w:bottom w:type="dxa" w:w="70"/>
              <w:right w:type="dxa" w:w="110"/>
            </w:tcMar>
            <w:vAlign w:val="center"/>
          </w:tcPr>
          <w:p>
            <w:pPr>
              <w:spacing w:after="0" w:before="0" w:line="276" w:lineRule="auto"/>
            </w:pPr>
            <w:r>
              <w:rPr>
                <w:sz w:val="14"/>
                <w:szCs w:val="14"/>
              </w:rPr>
              <w:t xml:space="preserve">…</w:t>
            </w:r>
          </w:p>
        </w:tc>
      </w:tr>
    </w:tbl>
    <w:p>
      <w:pPr>
        <w:spacing w:after="120" w:before="40" w:line="276" w:lineRule="auto"/>
      </w:pPr>
      <w:r>
        <w:t xml:space="preserve">Regla de calidad: la matriz contiene al menos doce riesgos que cubren los activos críticos de E.04; los ejes de amenaza activos del perfil (IA, identidad, nube, terceros y cadena de suministro, tecnología de operación: los que los sistemas, la red y la madurez actual del perfil activan) aparecen entre las amenazas, con nota de los que no aplican; y cada riesgo Crítico o Alto traza a un control de E.07 o a una salvaguarda del baseline de E.08.</w:t>
      </w:r>
    </w:p>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E.05 Matriz de riesgos: escalas, mapa de calor y tratamientos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2026-09-26T23:15:12.459Z</dcterms:created>
  <dcterms:modified xsi:type="dcterms:W3CDTF">2026-09-26T23:15:12.459Z</dcterms:modified>
</cp:coreProperties>
</file>

<file path=docProps/custom.xml><?xml version="1.0" encoding="utf-8"?>
<Properties xmlns="http://schemas.openxmlformats.org/officeDocument/2006/custom-properties" xmlns:vt="http://schemas.openxmlformats.org/officeDocument/2006/docPropsVTypes"/>
</file>