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E.07</w:t>
      </w:r>
    </w:p>
    <w:p>
      <w:pPr>
        <w:spacing w:after="400"/>
        <w:jc w:val="center"/>
      </w:pPr>
      <w:r>
        <w:rPr>
          <w:color w:val="262626"/>
          <w:sz w:val="28"/>
          <w:szCs w:val="28"/>
        </w:rPr>
        <w:t xml:space="preserve">Desarrollo de control CIS (política + SOP + controles)</w:t>
      </w:r>
    </w:p>
    <w:p>
      <w:pPr>
        <w:spacing w:after="120" w:before="40" w:line="276" w:lineRule="auto"/>
        <w:jc w:val="center"/>
      </w:pPr>
      <w:r>
        <w:rPr>
          <w:color w:val="595959"/>
          <w:sz w:val="22"/>
          <w:szCs w:val="22"/>
        </w:rPr>
        <w:t xml:space="preserve">Formato oficial del entregable E.07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E.07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E07_Desarrollo_Control_CIS_&lt;Control&gt;_&lt;Equipo&gt;.docx (o .pdf).</w:t>
      </w:r>
    </w:p>
    <w:p>
      <w:pPr>
        <w:pStyle w:val="Heading1"/>
      </w:pPr>
      <w:r>
        <w:t xml:space="preserve">3. Desarrollo de control CIS (política + SOP + controles)</w:t>
      </w:r>
    </w:p>
    <w:p>
      <w:pPr>
        <w:spacing w:after="120" w:before="40" w:line="276" w:lineRule="auto"/>
      </w:pPr>
      <w:r>
        <w:t xml:space="preserve">Cada uno de los seis controles a profundidad se desarrolla con esta estructura completa, en un archivo por control. Extensión de referencia: 3–5 páginas de desarrollo por control (F.1 a F.4), sin contar portada, índice, instrucciones ni la sección F.0.</w:t>
      </w:r>
    </w:p>
    <w:p>
      <w:pPr>
        <w:pStyle w:val="Heading2"/>
      </w:pPr>
      <w:r>
        <w:t xml:space="preserve">F.0 Selección de los seis controles (común a los seis archivos)</w:t>
      </w:r>
    </w:p>
    <w:p>
      <w:pPr>
        <w:spacing w:after="120" w:before="40" w:line="276" w:lineRule="auto"/>
      </w:pPr>
      <w:r>
        <w:t xml:space="preserve">La misma tabla va en los seis archivos: los seis controles elegidos, los riesgos Críticos y Altos de E.05 que cubre cada uno y el criterio del paso 2 de la guía que decidió su lugar (conteo de riesgos, riesgo Crítico, suma de inherentes, SLE, riesgo que ningún otro candidato trata, tratamiento valorado en D.6).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3136"/>
      </w:tblGrid>
      <w:tr>
        <w:trPr>
          <w:tblHeader/>
        </w:trPr>
        <w:tc>
          <w:tcPr>
            <w:tcW w:type="dxa" w:w="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Lugar</w:t>
            </w:r>
          </w:p>
        </w:tc>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Control CIS v8.1</w:t>
            </w:r>
          </w:p>
        </w:tc>
        <w:tc>
          <w:tcPr>
            <w:tcW w:type="dxa" w:w="2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Riesgos que cubre (ID de E.05)</w:t>
            </w:r>
          </w:p>
        </w:tc>
        <w:tc>
          <w:tcPr>
            <w:tcW w:type="dxa" w:w="31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Criterio que decidió su lugar</w:t>
            </w:r>
          </w:p>
        </w:tc>
      </w:tr>
      <w:tr>
        <w:trPr>
          <w:cantSplit/>
        </w:trPr>
        <w:tc>
          <w:tcPr>
            <w:tcW w:type="dxa" w:w="800"/>
            <w:tcMar>
              <w:top w:type="dxa" w:w="70"/>
              <w:left w:type="dxa" w:w="110"/>
              <w:bottom w:type="dxa" w:w="70"/>
              <w:right w:type="dxa" w:w="110"/>
            </w:tcMar>
            <w:vAlign w:val="center"/>
          </w:tcPr>
          <w:p>
            <w:pPr>
              <w:spacing w:after="0" w:before="0" w:line="276" w:lineRule="auto"/>
            </w:pPr>
            <w:r>
              <w:rPr>
                <w:sz w:val="16"/>
                <w:szCs w:val="16"/>
              </w:rPr>
              <w:t xml:space="preserve">1</w:t>
            </w:r>
          </w:p>
        </w:tc>
        <w:tc>
          <w:tcPr>
            <w:tcW w:type="dxa" w:w="3600"/>
            <w:tcMar>
              <w:top w:type="dxa" w:w="70"/>
              <w:left w:type="dxa" w:w="110"/>
              <w:bottom w:type="dxa" w:w="70"/>
              <w:right w:type="dxa" w:w="110"/>
            </w:tcMar>
            <w:vAlign w:val="center"/>
          </w:tcPr>
          <w:p>
            <w:pPr>
              <w:spacing w:after="0" w:before="0" w:line="276" w:lineRule="auto"/>
            </w:pPr>
            <w:r>
              <w:rPr>
                <w:sz w:val="16"/>
                <w:szCs w:val="16"/>
              </w:rPr>
              <w:t xml:space="preserve">(p. ej.) Control 13 — Monitoreo y defensa de la red — RHM</w:t>
            </w:r>
          </w:p>
        </w:tc>
        <w:tc>
          <w:tcPr>
            <w:tcW w:type="dxa" w:w="2400"/>
            <w:tcMar>
              <w:top w:type="dxa" w:w="70"/>
              <w:left w:type="dxa" w:w="110"/>
              <w:bottom w:type="dxa" w:w="70"/>
              <w:right w:type="dxa" w:w="110"/>
            </w:tcMar>
            <w:vAlign w:val="center"/>
          </w:tcPr>
          <w:p>
            <w:pPr>
              <w:spacing w:after="0" w:before="0" w:line="276" w:lineRule="auto"/>
            </w:pPr>
            <w:r>
              <w:rPr>
                <w:sz w:val="16"/>
                <w:szCs w:val="16"/>
              </w:rPr>
              <w:t xml:space="preserve">R-01</w:t>
            </w:r>
          </w:p>
        </w:tc>
        <w:tc>
          <w:tcPr>
            <w:tcW w:type="dxa" w:w="3136"/>
            <w:tcMar>
              <w:top w:type="dxa" w:w="70"/>
              <w:left w:type="dxa" w:w="110"/>
              <w:bottom w:type="dxa" w:w="70"/>
              <w:right w:type="dxa" w:w="110"/>
            </w:tcMar>
            <w:vAlign w:val="center"/>
          </w:tcPr>
          <w:p>
            <w:pPr>
              <w:spacing w:after="0" w:before="0" w:line="276" w:lineRule="auto"/>
            </w:pPr>
            <w:r>
              <w:rPr>
                <w:sz w:val="16"/>
                <w:szCs w:val="16"/>
              </w:rPr>
              <w:t xml:space="preserve">Mayor conteo de riesgos Críticos</w:t>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6"/>
                <w:szCs w:val="16"/>
              </w:rPr>
              <w:t xml:space="preserve">2</w:t>
            </w:r>
          </w:p>
        </w:tc>
        <w:tc>
          <w:tcPr>
            <w:tcW w:type="dxa" w:w="36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1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800"/>
            <w:tcMar>
              <w:top w:type="dxa" w:w="70"/>
              <w:left w:type="dxa" w:w="110"/>
              <w:bottom w:type="dxa" w:w="70"/>
              <w:right w:type="dxa" w:w="110"/>
            </w:tcMar>
            <w:vAlign w:val="center"/>
          </w:tcPr>
          <w:p>
            <w:pPr>
              <w:spacing w:after="0" w:before="0" w:line="276" w:lineRule="auto"/>
            </w:pPr>
            <w:r>
              <w:rPr>
                <w:sz w:val="16"/>
                <w:szCs w:val="16"/>
              </w:rPr>
              <w:t xml:space="preserve">3</w:t>
            </w:r>
          </w:p>
        </w:tc>
        <w:tc>
          <w:tcPr>
            <w:tcW w:type="dxa" w:w="36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4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1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6"/>
                <w:szCs w:val="16"/>
              </w:rPr>
              <w:t xml:space="preserve">4</w:t>
            </w:r>
          </w:p>
        </w:tc>
        <w:tc>
          <w:tcPr>
            <w:tcW w:type="dxa" w:w="36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1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800"/>
            <w:tcMar>
              <w:top w:type="dxa" w:w="70"/>
              <w:left w:type="dxa" w:w="110"/>
              <w:bottom w:type="dxa" w:w="70"/>
              <w:right w:type="dxa" w:w="110"/>
            </w:tcMar>
            <w:vAlign w:val="center"/>
          </w:tcPr>
          <w:p>
            <w:pPr>
              <w:spacing w:after="0" w:before="0" w:line="276" w:lineRule="auto"/>
            </w:pPr>
            <w:r>
              <w:rPr>
                <w:sz w:val="16"/>
                <w:szCs w:val="16"/>
              </w:rPr>
              <w:t xml:space="preserve">5</w:t>
            </w:r>
          </w:p>
        </w:tc>
        <w:tc>
          <w:tcPr>
            <w:tcW w:type="dxa" w:w="36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4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1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800"/>
            <w:shd w:fill="F2F7FB" w:val="clear"/>
            <w:tcMar>
              <w:top w:type="dxa" w:w="70"/>
              <w:left w:type="dxa" w:w="110"/>
              <w:bottom w:type="dxa" w:w="70"/>
              <w:right w:type="dxa" w:w="110"/>
            </w:tcMar>
            <w:vAlign w:val="center"/>
          </w:tcPr>
          <w:p>
            <w:pPr>
              <w:spacing w:after="0" w:before="0" w:line="276" w:lineRule="auto"/>
            </w:pPr>
            <w:r>
              <w:rPr>
                <w:sz w:val="16"/>
                <w:szCs w:val="16"/>
              </w:rPr>
              <w:t xml:space="preserve">6</w:t>
            </w:r>
          </w:p>
        </w:tc>
        <w:tc>
          <w:tcPr>
            <w:tcW w:type="dxa" w:w="36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4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1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bl>
    <w:p>
      <w:pPr>
        <w:pStyle w:val="Heading2"/>
      </w:pPr>
      <w:r>
        <w:t xml:space="preserve">F.1 Identificación del control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7436"/>
      </w:tblGrid>
      <w:tr>
        <w:trPr>
          <w:tblHeader/>
        </w:trPr>
        <w:tc>
          <w:tcPr>
            <w:tcW w:type="dxa" w:w="2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7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Control CIS v8.1</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Número y nombre oficial (p. ej. Control 13 — Monitoreo y defensa de la red).</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Salvaguardas del IG asignado en este control</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Todas las salvaguardas del control que pertenecen al IG asignado (tabla G.2 de E08), con número, nombre e IG, marcando cuáles implementa el diseño ahora y cuáles pasan al roadmap de E.10 (p. ej. RHM, Control 13: 13.1, 13.3, 13.4 y 13.6 diseñadas ahora; 13.2, 13.5 y 13.7–13.11 al roadmap). Así el baseline del IG queda completo entre E.07 y E.08.</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Riesgos que mitiga</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Los ID de la matriz de E.05 que este control reduce: la trazabilidad que justifica su selección (p. ej. R-01).</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Correspondencia ISO</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Los controles de ISO/IEC 27002:2022 relacionados (p. ej. 8.20 — seguridad de redes; 8.22 — segregación de redes).</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Función CSF 2.0</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La función principal que sirve: Gobernar, Identificar, Proteger, Detectar, Responder o Recuperar.</w:t>
            </w:r>
          </w:p>
        </w:tc>
      </w:tr>
    </w:tbl>
    <w:p>
      <w:pPr>
        <w:pStyle w:val="Heading2"/>
      </w:pPr>
      <w:r>
        <w:t xml:space="preserve">F.2 Política (el qué y el porqué)</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7436"/>
      </w:tblGrid>
      <w:tr>
        <w:trPr>
          <w:tblHeader/>
        </w:trPr>
        <w:tc>
          <w:tcPr>
            <w:tcW w:type="dxa" w:w="2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Sección</w:t>
            </w:r>
          </w:p>
        </w:tc>
        <w:tc>
          <w:tcPr>
            <w:tcW w:type="dxa" w:w="7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Propósito</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Por qué existe la política, anclado a los riesgos y al negocio.</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Alcance</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A quiénes y a qué sistemas aplica.</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Declaraciones de política</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Las reglas, numeradas, en enunciados verificables («Todo tráfico entre la red administrativa y la red médica atraviesa un punto de filtrado con reglas aprobadas por el responsable de seguridad»).</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Roles y responsabilidades</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Quién aprueba, quién ejecuta, quién verifica (coherente con la RACI de E.06).</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Cumplimiento y excepciones</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Consecuencias del incumplimiento y proceso formal de excepciones.</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Revisión</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Frecuencia de revisión y dueño del documento.</w:t>
            </w:r>
          </w:p>
        </w:tc>
      </w:tr>
    </w:tbl>
    <w:p>
      <w:pPr>
        <w:pStyle w:val="Heading2"/>
      </w:pPr>
      <w:r>
        <w:t xml:space="preserve">F.3 SOP — procedimiento operativo (el cómo)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7436"/>
      </w:tblGrid>
      <w:tr>
        <w:trPr>
          <w:tblHeader/>
        </w:trPr>
        <w:tc>
          <w:tcPr>
            <w:tcW w:type="dxa" w:w="2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Sección</w:t>
            </w:r>
          </w:p>
        </w:tc>
        <w:tc>
          <w:tcPr>
            <w:tcW w:type="dxa" w:w="7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Contenido</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Objetivo y disparador</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Qué logra el procedimiento y cuándo se ejecuta (calendario o evento).</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Responsable y frecuencia</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Rol que lo ejecuta y con qué periodicidad.</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Pasos numerados</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La secuencia operativa completa, con herramientas y criterios de decisión.</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Evidencia generada</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Qué registro deja cada ejecución (reporte, ticket, bitácora): el insumo de los indicadores de E.09.</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Escalamiento</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Qué se hace y a quién se informa cuando el procedimiento encuentra una condición fuera de norma.</w:t>
            </w:r>
          </w:p>
        </w:tc>
      </w:tr>
    </w:tbl>
    <w:p>
      <w:pPr>
        <w:pStyle w:val="Heading2"/>
      </w:pPr>
      <w:r>
        <w:t xml:space="preserve">F.4 Controles por tipo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7436"/>
      </w:tblGrid>
      <w:tr>
        <w:trPr>
          <w:tblHeader/>
        </w:trPr>
        <w:tc>
          <w:tcPr>
            <w:tcW w:type="dxa" w:w="2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Tipo</w:t>
            </w:r>
          </w:p>
        </w:tc>
        <w:tc>
          <w:tcPr>
            <w:tcW w:type="dxa" w:w="74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Qué documenta el equipo (2–4 por control)</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Técnicos</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Configuraciones y herramientas concretas para la pila del bloque «Tecnología» de la ficha, con el CIS Benchmark del producto en la versión declarada (o el de la versión publicada más cercana, declarándolo); si el producto no tiene Benchmark, la guía de endurecimiento del fabricante. Una versión sin soporte del fabricante se registra como hallazgo con su fecha de fin de soporte y pasa a E.10 (p. ej. reglas de filtrado entre segmentos, MFA en accesos remotos, EDR en endpoints, escáner de vulnerabilidades semanal).</w:t>
            </w:r>
          </w:p>
        </w:tc>
      </w:tr>
      <w:tr>
        <w:trPr>
          <w:cantSplit/>
        </w:trPr>
        <w:tc>
          <w:tcPr>
            <w:tcW w:type="dxa" w:w="2500"/>
            <w:shd w:fill="F2F7FB" w:val="clear"/>
            <w:tcMar>
              <w:top w:type="dxa" w:w="70"/>
              <w:left w:type="dxa" w:w="110"/>
              <w:bottom w:type="dxa" w:w="70"/>
              <w:right w:type="dxa" w:w="110"/>
            </w:tcMar>
            <w:vAlign w:val="center"/>
          </w:tcPr>
          <w:p>
            <w:pPr>
              <w:spacing w:after="0" w:before="0" w:line="276" w:lineRule="auto"/>
            </w:pPr>
            <w:r>
              <w:rPr>
                <w:sz w:val="18"/>
                <w:szCs w:val="18"/>
              </w:rPr>
              <w:t xml:space="preserve">Administrativos</w:t>
            </w:r>
          </w:p>
        </w:tc>
        <w:tc>
          <w:tcPr>
            <w:tcW w:type="dxa" w:w="7436"/>
            <w:shd w:fill="F2F7FB" w:val="clear"/>
            <w:tcMar>
              <w:top w:type="dxa" w:w="70"/>
              <w:left w:type="dxa" w:w="110"/>
              <w:bottom w:type="dxa" w:w="70"/>
              <w:right w:type="dxa" w:w="110"/>
            </w:tcMar>
            <w:vAlign w:val="center"/>
          </w:tcPr>
          <w:p>
            <w:pPr>
              <w:spacing w:after="0" w:before="0" w:line="276" w:lineRule="auto"/>
            </w:pPr>
            <w:r>
              <w:rPr>
                <w:sz w:val="18"/>
                <w:szCs w:val="18"/>
              </w:rPr>
              <w:t xml:space="preserve">Procesos y decisiones de gestión (aprobaciones, revisiones periódicas, capacitación, contratos con terceros).</w:t>
            </w:r>
          </w:p>
        </w:tc>
      </w:tr>
      <w:tr>
        <w:trPr>
          <w:cantSplit/>
        </w:trPr>
        <w:tc>
          <w:tcPr>
            <w:tcW w:type="dxa" w:w="2500"/>
            <w:tcMar>
              <w:top w:type="dxa" w:w="70"/>
              <w:left w:type="dxa" w:w="110"/>
              <w:bottom w:type="dxa" w:w="70"/>
              <w:right w:type="dxa" w:w="110"/>
            </w:tcMar>
            <w:vAlign w:val="center"/>
          </w:tcPr>
          <w:p>
            <w:pPr>
              <w:spacing w:after="0" w:before="0" w:line="276" w:lineRule="auto"/>
            </w:pPr>
            <w:r>
              <w:rPr>
                <w:sz w:val="18"/>
                <w:szCs w:val="18"/>
              </w:rPr>
              <w:t xml:space="preserve">Físicos</w:t>
            </w:r>
          </w:p>
        </w:tc>
        <w:tc>
          <w:tcPr>
            <w:tcW w:type="dxa" w:w="7436"/>
            <w:tcMar>
              <w:top w:type="dxa" w:w="70"/>
              <w:left w:type="dxa" w:w="110"/>
              <w:bottom w:type="dxa" w:w="70"/>
              <w:right w:type="dxa" w:w="110"/>
            </w:tcMar>
            <w:vAlign w:val="center"/>
          </w:tcPr>
          <w:p>
            <w:pPr>
              <w:spacing w:after="0" w:before="0" w:line="276" w:lineRule="auto"/>
            </w:pPr>
            <w:r>
              <w:rPr>
                <w:sz w:val="18"/>
                <w:szCs w:val="18"/>
              </w:rPr>
              <w:t xml:space="preserve">Donde aplique: control de acceso a instalaciones, protección del centro de datos, resguardo de medios.</w:t>
            </w:r>
          </w:p>
        </w:tc>
      </w:tr>
    </w:tbl>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E.07 Desarrollo de control CIS (política + SOP + controles)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2026-09-26T23:15:12.740Z</dcterms:created>
  <dcterms:modified xsi:type="dcterms:W3CDTF">2026-09-26T23:15:12.740Z</dcterms:modified>
</cp:coreProperties>
</file>

<file path=docProps/custom.xml><?xml version="1.0" encoding="utf-8"?>
<Properties xmlns="http://schemas.openxmlformats.org/officeDocument/2006/custom-properties" xmlns:vt="http://schemas.openxmlformats.org/officeDocument/2006/docPropsVTypes"/>
</file>