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b/>
          <w:bCs/>
          <w:color w:val="1F3864"/>
          <w:sz w:val="52"/>
          <w:szCs w:val="52"/>
        </w:rPr>
        <w:t xml:space="preserve">C I B E R S E G U R I D A D</w:t>
      </w:r>
    </w:p>
    <w:p>
      <w:pPr>
        <w:spacing w:after="60"/>
        <w:jc w:val="center"/>
      </w:pPr>
      <w:r>
        <w:rPr>
          <w:b/>
          <w:bCs/>
          <w:color w:val="2E5395"/>
          <w:sz w:val="34"/>
          <w:szCs w:val="34"/>
        </w:rPr>
        <w:t xml:space="preserve">Proyecto Final · Entregable E.10</w:t>
      </w:r>
    </w:p>
    <w:p>
      <w:pPr>
        <w:spacing w:after="400"/>
        <w:jc w:val="center"/>
      </w:pPr>
      <w:r>
        <w:rPr>
          <w:color w:val="262626"/>
          <w:sz w:val="28"/>
          <w:szCs w:val="28"/>
        </w:rPr>
        <w:t xml:space="preserve">Roadmap de madurez hacia el IG asignado</w:t>
      </w:r>
    </w:p>
    <w:p>
      <w:pPr>
        <w:spacing w:after="120" w:before="40" w:line="276" w:lineRule="auto"/>
        <w:jc w:val="center"/>
      </w:pPr>
      <w:r>
        <w:rPr>
          <w:color w:val="595959"/>
          <w:sz w:val="22"/>
          <w:szCs w:val="22"/>
        </w:rPr>
        <w:t xml:space="preserve">Formato oficial del entregable E.10 de la Guía del Estudiante del Proyecto Final (2026)</w:t>
      </w:r>
    </w:p>
    <w:p>
      <w:pPr>
        <w:spacing w:after="20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Identificación del equipo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Equipo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Organización del catálogo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Fecha de entrega</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bl>
    <w:p>
      <w:pPr>
        <w:pStyle w:val="Heading1"/>
      </w:pPr>
      <w:r>
        <w:t xml:space="preserve">2. Instrucciones de uso</w:t>
      </w:r>
    </w:p>
    <w:p>
      <w:pPr>
        <w:pStyle w:val="ListParagraph"/>
        <w:numPr>
          <w:ilvl w:val="0"/>
          <w:numId w:val="2"/>
        </w:numPr>
        <w:spacing w:after="70" w:line="270" w:lineRule="auto"/>
      </w:pPr>
      <w:r>
        <w:t xml:space="preserve">La plantilla se completa para la organización asignada al equipo en el Catálogo de Empresas 2026.</w:t>
      </w:r>
    </w:p>
    <w:p>
      <w:pPr>
        <w:pStyle w:val="ListParagraph"/>
        <w:numPr>
          <w:ilvl w:val="0"/>
          <w:numId w:val="2"/>
        </w:numPr>
        <w:spacing w:after="70" w:line="270" w:lineRule="auto"/>
      </w:pPr>
      <w:r>
        <w:t xml:space="preserve">La sección E.10 de la Guía del Estudiante del Proyecto Final describe el objetivo de este entregable, sus insumos, los pasos, el llenado campo por campo, un ejemplo resuelto, los errores frecuentes, el checklist de cierre y la fecha de entrega.</w:t>
      </w:r>
    </w:p>
    <w:p>
      <w:pPr>
        <w:pStyle w:val="ListParagraph"/>
        <w:numPr>
          <w:ilvl w:val="0"/>
          <w:numId w:val="2"/>
        </w:numPr>
        <w:spacing w:after="70" w:line="270" w:lineRule="auto"/>
      </w:pPr>
      <w:r>
        <w:t xml:space="preserve">Las filas marcadas con «(p. ej.)» orientan el llenado y se reemplazan por los datos de la organización; los encabezados de las tablas se conservan.</w:t>
      </w:r>
    </w:p>
    <w:p>
      <w:pPr>
        <w:pStyle w:val="ListParagraph"/>
        <w:numPr>
          <w:ilvl w:val="0"/>
          <w:numId w:val="2"/>
        </w:numPr>
        <w:spacing w:after="70" w:line="270" w:lineRule="auto"/>
      </w:pPr>
      <w:r>
        <w:t xml:space="preserve">Nombre del archivo de entrega en Moodle: E10_Roadmap_Madurez_IG_&lt;Equipo&gt;.docx (o .pdf).</w:t>
      </w:r>
    </w:p>
    <w:p>
      <w:pPr>
        <w:pStyle w:val="Heading1"/>
      </w:pPr>
      <w:r>
        <w:t xml:space="preserve">3. Roadmap de madurez hacia el IG asignado</w:t>
      </w:r>
    </w:p>
    <w:p>
      <w:pPr>
        <w:spacing w:after="120" w:before="40" w:line="276" w:lineRule="auto"/>
      </w:pPr>
      <w:r>
        <w:t xml:space="preserve">El roadmap ordena en el tiempo lo que el checklist de E.08 dejó como «por implementar» o «al roadmap», más las mejoras que la auditoría de E.09 anticipa, en tres horizontes. La progresión sigue los Grupos de Implementación: primero se consolida IG1 completo; después las salvaguardas IG2 e IG3 que el IG asignado exige, en el orden que las dependencias permiten; y el último horizonte completa las salvaguardas IG3 del baseline que quedan pendientes, hasta las 153 del Grupo de Implementación asignado. Criterio de progresión: una iniciativa entra al siguiente horizonte cuando sus dependencias del horizonte anterior están cubiertas.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200"/>
        <w:gridCol w:w="5736"/>
      </w:tblGrid>
      <w:tr>
        <w:trPr>
          <w:tblHeader/>
        </w:trPr>
        <w:tc>
          <w:tcPr>
            <w:tcW w:type="dxa" w:w="4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57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4200"/>
            <w:tcMar>
              <w:top w:type="dxa" w:w="70"/>
              <w:left w:type="dxa" w:w="110"/>
              <w:bottom w:type="dxa" w:w="70"/>
              <w:right w:type="dxa" w:w="110"/>
            </w:tcMar>
            <w:vAlign w:val="center"/>
          </w:tcPr>
          <w:p>
            <w:pPr>
              <w:spacing w:after="0" w:before="0" w:line="276" w:lineRule="auto"/>
            </w:pPr>
            <w:r>
              <w:rPr>
                <w:sz w:val="18"/>
                <w:szCs w:val="18"/>
              </w:rPr>
              <w:t xml:space="preserve">Fecha de arranque del programa (ficha de datos del cliente)</w:t>
            </w:r>
          </w:p>
        </w:tc>
        <w:tc>
          <w:tcPr>
            <w:tcW w:type="dxa" w:w="5736"/>
            <w:tcMar>
              <w:top w:type="dxa" w:w="70"/>
              <w:left w:type="dxa" w:w="110"/>
              <w:bottom w:type="dxa" w:w="70"/>
              <w:right w:type="dxa" w:w="110"/>
            </w:tcMar>
            <w:vAlign w:val="center"/>
          </w:tcPr>
          <w:p>
            <w:pPr>
              <w:spacing w:after="0" w:before="0" w:line="276" w:lineRule="auto"/>
            </w:pPr>
            <w:r>
              <w:rPr>
                <w:sz w:val="18"/>
                <w:szCs w:val="18"/>
              </w:rPr>
              <w:t xml:space="preserve">Lunes 4 de enero de 2027</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7236"/>
      </w:tblGrid>
      <w:tr>
        <w:trPr>
          <w:tblHeader/>
        </w:trPr>
        <w:tc>
          <w:tcPr>
            <w:tcW w:type="dxa" w:w="2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Horizonte</w:t>
            </w:r>
          </w:p>
        </w:tc>
        <w:tc>
          <w:tcPr>
            <w:tcW w:type="dxa" w:w="72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Alcance típico</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Corto plazo (0–6 meses): 4 de enero a 30 de junio de 2027</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Cierre de brechas IG1 detectadas en E.08 y estabilización de los seis controles desarrollados en E.07.</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Mediano plazo (6–18 meses): 1 de julio de 2027 a 30 de junio de 2028</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Salvaguardas IG2 del baseline aún pendientes: gestión centralizada de bitácoras, filtrado entre segmentos y gestión de incidentes ampliada, entre otras.</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Largo plazo (18–36 meses): 1 de julio de 2028 a 31 de diciembre de 2029</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Salvaguardas IG3 del baseline aún pendientes (p. ej. detección de intrusiones en red, pruebas de penetración periódicas, seguridad de aplicaciones) y madurez del programa hasta completar las 153 salvaguardas del IG3 asignado.</w:t>
            </w:r>
          </w:p>
        </w:tc>
      </w:tr>
    </w:tbl>
    <w:p>
      <w:pPr>
        <w:pStyle w:val="Heading2"/>
      </w:pPr>
      <w:r>
        <w:t xml:space="preserve">I.1 Plantilla del roadmap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600"/>
        <w:gridCol w:w="1100"/>
        <w:gridCol w:w="1400"/>
        <w:gridCol w:w="1600"/>
        <w:gridCol w:w="1636"/>
      </w:tblGrid>
      <w:tr>
        <w:trPr>
          <w:tblHeader/>
        </w:trPr>
        <w:tc>
          <w:tcPr>
            <w:tcW w:type="dxa" w:w="21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Iniciativa</w:t>
            </w:r>
          </w:p>
        </w:tc>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Salvaguardas CIS v8.1</w:t>
            </w:r>
          </w:p>
        </w:tc>
        <w:tc>
          <w:tcPr>
            <w:tcW w:type="dxa" w:w="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IG</w:t>
            </w:r>
          </w:p>
        </w:tc>
        <w:tc>
          <w:tcPr>
            <w:tcW w:type="dxa" w:w="11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Horizonte</w:t>
            </w:r>
          </w:p>
        </w:tc>
        <w:tc>
          <w:tcPr>
            <w:tcW w:type="dxa" w:w="1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Responsable</w:t>
            </w:r>
          </w:p>
        </w:tc>
        <w:tc>
          <w:tcPr>
            <w:tcW w:type="dxa" w:w="1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Dependencias</w:t>
            </w:r>
          </w:p>
        </w:tc>
        <w:tc>
          <w:tcPr>
            <w:tcW w:type="dxa" w:w="16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Resultado esperado</w:t>
            </w:r>
          </w:p>
        </w:tc>
      </w:tr>
      <w:tr>
        <w:trPr>
          <w:cantSplit/>
        </w:trPr>
        <w:tc>
          <w:tcPr>
            <w:tcW w:type="dxa" w:w="2100"/>
            <w:tcMar>
              <w:top w:type="dxa" w:w="70"/>
              <w:left w:type="dxa" w:w="110"/>
              <w:bottom w:type="dxa" w:w="70"/>
              <w:right w:type="dxa" w:w="110"/>
            </w:tcMar>
            <w:vAlign w:val="center"/>
          </w:tcPr>
          <w:p>
            <w:pPr>
              <w:spacing w:after="0" w:before="0" w:line="276" w:lineRule="auto"/>
            </w:pPr>
            <w:r>
              <w:rPr>
                <w:sz w:val="15"/>
                <w:szCs w:val="15"/>
              </w:rPr>
              <w:t xml:space="preserve">(p. ej.) Inventario continuo de dispositivos IoMT — RHM</w:t>
            </w:r>
          </w:p>
        </w:tc>
        <w:tc>
          <w:tcPr>
            <w:tcW w:type="dxa" w:w="1500"/>
            <w:tcMar>
              <w:top w:type="dxa" w:w="70"/>
              <w:left w:type="dxa" w:w="110"/>
              <w:bottom w:type="dxa" w:w="70"/>
              <w:right w:type="dxa" w:w="110"/>
            </w:tcMar>
            <w:vAlign w:val="center"/>
          </w:tcPr>
          <w:p>
            <w:pPr>
              <w:spacing w:after="0" w:before="0" w:line="276" w:lineRule="auto"/>
            </w:pPr>
            <w:r>
              <w:rPr>
                <w:sz w:val="15"/>
                <w:szCs w:val="15"/>
              </w:rPr>
              <w:t xml:space="preserve">1.1, 1.3, 1.5</w:t>
            </w:r>
          </w:p>
        </w:tc>
        <w:tc>
          <w:tcPr>
            <w:tcW w:type="dxa" w:w="600"/>
            <w:tcMar>
              <w:top w:type="dxa" w:w="70"/>
              <w:left w:type="dxa" w:w="110"/>
              <w:bottom w:type="dxa" w:w="70"/>
              <w:right w:type="dxa" w:w="110"/>
            </w:tcMar>
            <w:vAlign w:val="center"/>
          </w:tcPr>
          <w:p>
            <w:pPr>
              <w:spacing w:after="0" w:before="0" w:line="276" w:lineRule="auto"/>
            </w:pPr>
            <w:r>
              <w:rPr>
                <w:sz w:val="15"/>
                <w:szCs w:val="15"/>
              </w:rPr>
              <w:t xml:space="preserve">IG1 / IG2 / IG3</w:t>
            </w:r>
          </w:p>
        </w:tc>
        <w:tc>
          <w:tcPr>
            <w:tcW w:type="dxa" w:w="1100"/>
            <w:tcMar>
              <w:top w:type="dxa" w:w="70"/>
              <w:left w:type="dxa" w:w="110"/>
              <w:bottom w:type="dxa" w:w="70"/>
              <w:right w:type="dxa" w:w="110"/>
            </w:tcMar>
            <w:vAlign w:val="center"/>
          </w:tcPr>
          <w:p>
            <w:pPr>
              <w:spacing w:after="0" w:before="0" w:line="276" w:lineRule="auto"/>
            </w:pPr>
            <w:r>
              <w:rPr>
                <w:sz w:val="15"/>
                <w:szCs w:val="15"/>
              </w:rPr>
              <w:t xml:space="preserve">Corto</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Dirección de TI</w:t>
            </w:r>
          </w:p>
        </w:tc>
        <w:tc>
          <w:tcPr>
            <w:tcW w:type="dxa" w:w="1600"/>
            <w:tcMar>
              <w:top w:type="dxa" w:w="70"/>
              <w:left w:type="dxa" w:w="110"/>
              <w:bottom w:type="dxa" w:w="70"/>
              <w:right w:type="dxa" w:w="110"/>
            </w:tcMar>
            <w:vAlign w:val="center"/>
          </w:tcPr>
          <w:p>
            <w:pPr>
              <w:spacing w:after="0" w:before="0" w:line="276" w:lineRule="auto"/>
            </w:pPr>
            <w:r>
              <w:rPr>
                <w:sz w:val="15"/>
                <w:szCs w:val="15"/>
              </w:rPr>
              <w:t xml:space="preserve">Ninguna</w:t>
            </w:r>
          </w:p>
        </w:tc>
        <w:tc>
          <w:tcPr>
            <w:tcW w:type="dxa" w:w="1636"/>
            <w:tcMar>
              <w:top w:type="dxa" w:w="70"/>
              <w:left w:type="dxa" w:w="110"/>
              <w:bottom w:type="dxa" w:w="70"/>
              <w:right w:type="dxa" w:w="110"/>
            </w:tcMar>
            <w:vAlign w:val="center"/>
          </w:tcPr>
          <w:p>
            <w:pPr>
              <w:spacing w:after="0" w:before="0" w:line="276" w:lineRule="auto"/>
            </w:pPr>
            <w:r>
              <w:rPr>
                <w:sz w:val="15"/>
                <w:szCs w:val="15"/>
              </w:rPr>
              <w:t xml:space="preserve">100 % de los dispositivos médicos en red registrados y con dueño</w:t>
            </w:r>
          </w:p>
        </w:tc>
      </w:tr>
      <w:tr>
        <w:trPr>
          <w:cantSplit/>
        </w:trPr>
        <w:tc>
          <w:tcPr>
            <w:tcW w:type="dxa" w:w="2100"/>
            <w:shd w:fill="F2F7FB" w:val="clear"/>
            <w:tcMar>
              <w:top w:type="dxa" w:w="70"/>
              <w:left w:type="dxa" w:w="110"/>
              <w:bottom w:type="dxa" w:w="70"/>
              <w:right w:type="dxa" w:w="110"/>
            </w:tcMar>
            <w:vAlign w:val="center"/>
          </w:tcPr>
          <w:p>
            <w:pPr>
              <w:spacing w:after="0" w:before="0" w:line="276" w:lineRule="auto"/>
            </w:pPr>
            <w:r>
              <w:rPr>
                <w:sz w:val="15"/>
                <w:szCs w:val="15"/>
              </w:rPr>
              <w:t xml:space="preserve">(p. ej.) Centralizar bitácoras en un SIEM — RHM</w:t>
            </w:r>
          </w:p>
        </w:tc>
        <w:tc>
          <w:tcPr>
            <w:tcW w:type="dxa" w:w="1500"/>
            <w:shd w:fill="F2F7FB" w:val="clear"/>
            <w:tcMar>
              <w:top w:type="dxa" w:w="70"/>
              <w:left w:type="dxa" w:w="110"/>
              <w:bottom w:type="dxa" w:w="70"/>
              <w:right w:type="dxa" w:w="110"/>
            </w:tcMar>
            <w:vAlign w:val="center"/>
          </w:tcPr>
          <w:p>
            <w:pPr>
              <w:spacing w:after="0" w:before="0" w:line="276" w:lineRule="auto"/>
            </w:pPr>
            <w:r>
              <w:rPr>
                <w:sz w:val="15"/>
                <w:szCs w:val="15"/>
              </w:rPr>
              <w:t xml:space="preserve">8.9–8.11, 13.1</w:t>
            </w:r>
          </w:p>
        </w:tc>
        <w:tc>
          <w:tcPr>
            <w:tcW w:type="dxa" w:w="600"/>
            <w:shd w:fill="F2F7FB" w:val="clear"/>
            <w:tcMar>
              <w:top w:type="dxa" w:w="70"/>
              <w:left w:type="dxa" w:w="110"/>
              <w:bottom w:type="dxa" w:w="70"/>
              <w:right w:type="dxa" w:w="110"/>
            </w:tcMar>
            <w:vAlign w:val="center"/>
          </w:tcPr>
          <w:p>
            <w:pPr>
              <w:spacing w:after="0" w:before="0" w:line="276" w:lineRule="auto"/>
            </w:pPr>
            <w:r>
              <w:rPr>
                <w:sz w:val="15"/>
                <w:szCs w:val="15"/>
              </w:rPr>
              <w:t xml:space="preserve">IG2</w:t>
            </w:r>
          </w:p>
        </w:tc>
        <w:tc>
          <w:tcPr>
            <w:tcW w:type="dxa" w:w="1100"/>
            <w:shd w:fill="F2F7FB" w:val="clear"/>
            <w:tcMar>
              <w:top w:type="dxa" w:w="70"/>
              <w:left w:type="dxa" w:w="110"/>
              <w:bottom w:type="dxa" w:w="70"/>
              <w:right w:type="dxa" w:w="110"/>
            </w:tcMar>
            <w:vAlign w:val="center"/>
          </w:tcPr>
          <w:p>
            <w:pPr>
              <w:spacing w:after="0" w:before="0" w:line="276" w:lineRule="auto"/>
            </w:pPr>
            <w:r>
              <w:rPr>
                <w:sz w:val="15"/>
                <w:szCs w:val="15"/>
              </w:rPr>
              <w:t xml:space="preserve">Mediano</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Resp. de Seguridad</w:t>
            </w:r>
          </w:p>
        </w:tc>
        <w:tc>
          <w:tcPr>
            <w:tcW w:type="dxa" w:w="1600"/>
            <w:shd w:fill="F2F7FB" w:val="clear"/>
            <w:tcMar>
              <w:top w:type="dxa" w:w="70"/>
              <w:left w:type="dxa" w:w="110"/>
              <w:bottom w:type="dxa" w:w="70"/>
              <w:right w:type="dxa" w:w="110"/>
            </w:tcMar>
            <w:vAlign w:val="center"/>
          </w:tcPr>
          <w:p>
            <w:pPr>
              <w:spacing w:after="0" w:before="0" w:line="276" w:lineRule="auto"/>
            </w:pPr>
            <w:r>
              <w:rPr>
                <w:sz w:val="15"/>
                <w:szCs w:val="15"/>
              </w:rPr>
              <w:t xml:space="preserve">Control 8 IG1 operando</w:t>
            </w:r>
          </w:p>
        </w:tc>
        <w:tc>
          <w:tcPr>
            <w:tcW w:type="dxa" w:w="1636"/>
            <w:shd w:fill="F2F7FB" w:val="clear"/>
            <w:tcMar>
              <w:top w:type="dxa" w:w="70"/>
              <w:left w:type="dxa" w:w="110"/>
              <w:bottom w:type="dxa" w:w="70"/>
              <w:right w:type="dxa" w:w="110"/>
            </w:tcMar>
            <w:vAlign w:val="center"/>
          </w:tcPr>
          <w:p>
            <w:pPr>
              <w:spacing w:after="0" w:before="0" w:line="276" w:lineRule="auto"/>
            </w:pPr>
            <w:r>
              <w:rPr>
                <w:sz w:val="15"/>
                <w:szCs w:val="15"/>
              </w:rPr>
              <w:t xml:space="preserve">Detección centralizada con retención de 90 días</w:t>
            </w:r>
          </w:p>
        </w:tc>
      </w:tr>
      <w:tr>
        <w:trPr>
          <w:cantSplit/>
        </w:trPr>
        <w:tc>
          <w:tcPr>
            <w:tcW w:type="dxa" w:w="21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5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6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1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6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636"/>
            <w:tcMar>
              <w:top w:type="dxa" w:w="70"/>
              <w:left w:type="dxa" w:w="110"/>
              <w:bottom w:type="dxa" w:w="70"/>
              <w:right w:type="dxa" w:w="110"/>
            </w:tcMar>
            <w:vAlign w:val="center"/>
          </w:tcPr>
          <w:p>
            <w:pPr>
              <w:spacing w:after="0" w:before="0" w:line="276" w:lineRule="auto"/>
            </w:pPr>
            <w:r>
              <w:rPr>
                <w:sz w:val="15"/>
                <w:szCs w:val="15"/>
              </w:rPr>
              <w:t xml:space="preserve">…</w:t>
            </w:r>
          </w:p>
        </w:tc>
      </w:tr>
    </w:tbl>
    <w:p>
      <w:pPr>
        <w:pStyle w:val="Heading2"/>
      </w:pPr>
      <w:r>
        <w:t xml:space="preserve">I.2 Estado esperado por horizonte</w:t>
      </w:r>
    </w:p>
    <w:p>
      <w:pPr>
        <w:spacing w:after="120" w:before="40" w:line="276" w:lineRule="auto"/>
      </w:pPr>
      <w:r>
        <w:t xml:space="preserve">Salvaguardas del IG asignado operando al cierre de cada horizonte, contadas sobre el checklist de E.08 más las seis F.1 de E.07; al cierre del largo plazo operan las 153.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136"/>
        <w:gridCol w:w="1700"/>
        <w:gridCol w:w="1700"/>
        <w:gridCol w:w="1700"/>
        <w:gridCol w:w="1700"/>
      </w:tblGrid>
      <w:tr>
        <w:trPr>
          <w:tblHeader/>
        </w:trPr>
        <w:tc>
          <w:tcPr>
            <w:tcW w:type="dxa" w:w="31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Cierre del horizonte</w:t>
            </w:r>
          </w:p>
        </w:tc>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IG1 operando (de 56)</w:t>
            </w:r>
          </w:p>
        </w:tc>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IG2 operando (de 74)</w:t>
            </w:r>
          </w:p>
        </w:tc>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IG3 operando (de 23)</w:t>
            </w:r>
          </w:p>
        </w:tc>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Total (de 153)</w:t>
            </w:r>
          </w:p>
        </w:tc>
      </w:tr>
      <w:tr>
        <w:trPr>
          <w:cantSplit/>
        </w:trPr>
        <w:tc>
          <w:tcPr>
            <w:tcW w:type="dxa" w:w="3136"/>
            <w:tcMar>
              <w:top w:type="dxa" w:w="70"/>
              <w:left w:type="dxa" w:w="110"/>
              <w:bottom w:type="dxa" w:w="70"/>
              <w:right w:type="dxa" w:w="110"/>
            </w:tcMar>
            <w:vAlign w:val="center"/>
          </w:tcPr>
          <w:p>
            <w:pPr>
              <w:spacing w:after="0" w:before="0" w:line="276" w:lineRule="auto"/>
            </w:pPr>
            <w:r>
              <w:rPr>
                <w:sz w:val="16"/>
                <w:szCs w:val="16"/>
              </w:rPr>
              <w:t xml:space="preserve">Hoy (estado de E.08)</w:t>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3136"/>
            <w:shd w:fill="F2F7FB" w:val="clear"/>
            <w:tcMar>
              <w:top w:type="dxa" w:w="70"/>
              <w:left w:type="dxa" w:w="110"/>
              <w:bottom w:type="dxa" w:w="70"/>
              <w:right w:type="dxa" w:w="110"/>
            </w:tcMar>
            <w:vAlign w:val="center"/>
          </w:tcPr>
          <w:p>
            <w:pPr>
              <w:spacing w:after="0" w:before="0" w:line="276" w:lineRule="auto"/>
            </w:pPr>
            <w:r>
              <w:rPr>
                <w:sz w:val="16"/>
                <w:szCs w:val="16"/>
              </w:rPr>
              <w:t xml:space="preserve">Corto plazo · 30 de junio de 2027</w:t>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3136"/>
            <w:tcMar>
              <w:top w:type="dxa" w:w="70"/>
              <w:left w:type="dxa" w:w="110"/>
              <w:bottom w:type="dxa" w:w="70"/>
              <w:right w:type="dxa" w:w="110"/>
            </w:tcMar>
            <w:vAlign w:val="center"/>
          </w:tcPr>
          <w:p>
            <w:pPr>
              <w:spacing w:after="0" w:before="0" w:line="276" w:lineRule="auto"/>
            </w:pPr>
            <w:r>
              <w:rPr>
                <w:sz w:val="16"/>
                <w:szCs w:val="16"/>
              </w:rPr>
              <w:t xml:space="preserve">Mediano plazo · 30 de junio de 2028</w:t>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3136"/>
            <w:shd w:fill="F2F7FB" w:val="clear"/>
            <w:tcMar>
              <w:top w:type="dxa" w:w="70"/>
              <w:left w:type="dxa" w:w="110"/>
              <w:bottom w:type="dxa" w:w="70"/>
              <w:right w:type="dxa" w:w="110"/>
            </w:tcMar>
            <w:vAlign w:val="center"/>
          </w:tcPr>
          <w:p>
            <w:pPr>
              <w:spacing w:after="0" w:before="0" w:line="276" w:lineRule="auto"/>
            </w:pPr>
            <w:r>
              <w:rPr>
                <w:sz w:val="16"/>
                <w:szCs w:val="16"/>
              </w:rPr>
              <w:t xml:space="preserve">Largo plazo · 31 de diciembre de 2029</w:t>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56</w:t>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74</w:t>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23</w:t>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153</w:t>
            </w:r>
          </w:p>
        </w:tc>
      </w:tr>
    </w:tbl>
    <w:p>
      <w:pPr>
        <w:pStyle w:val="Heading2"/>
      </w:pPr>
      <w:r>
        <w:t xml:space="preserve">I.3 Tratamientos de E.05 sin salvaguarda CIS</w:t>
      </w:r>
    </w:p>
    <w:p>
      <w:pPr>
        <w:spacing w:after="120" w:before="40" w:line="276" w:lineRule="auto"/>
      </w:pPr>
      <w:r>
        <w:t xml:space="preserve">Los riesgos que E.05 trata con un control de ISO/IEC 27002:2022 sin salvaguarda CIS aplicable se registran aquí, fuera del conteo de las 153.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800"/>
        <w:gridCol w:w="1300"/>
        <w:gridCol w:w="1000"/>
        <w:gridCol w:w="2036"/>
      </w:tblGrid>
      <w:tr>
        <w:trPr>
          <w:tblHeader/>
        </w:trPr>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Riesgo (E.05)</w:t>
            </w:r>
          </w:p>
        </w:tc>
        <w:tc>
          <w:tcPr>
            <w:tcW w:type="dxa" w:w="21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Control ISO/IEC 27002:2022</w:t>
            </w:r>
          </w:p>
        </w:tc>
        <w:tc>
          <w:tcPr>
            <w:tcW w:type="dxa" w:w="1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Iniciativa</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Responsable</w:t>
            </w:r>
          </w:p>
        </w:tc>
        <w:tc>
          <w:tcPr>
            <w:tcW w:type="dxa" w:w="1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Horizonte</w:t>
            </w:r>
          </w:p>
        </w:tc>
        <w:tc>
          <w:tcPr>
            <w:tcW w:type="dxa" w:w="20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Resultado esperado</w:t>
            </w:r>
          </w:p>
        </w:tc>
      </w:tr>
      <w:tr>
        <w:trPr>
          <w:cantSplit/>
        </w:trPr>
        <w:tc>
          <w:tcPr>
            <w:tcW w:type="dxa" w:w="1700"/>
            <w:tcMar>
              <w:top w:type="dxa" w:w="70"/>
              <w:left w:type="dxa" w:w="110"/>
              <w:bottom w:type="dxa" w:w="70"/>
              <w:right w:type="dxa" w:w="110"/>
            </w:tcMar>
            <w:vAlign w:val="center"/>
          </w:tcPr>
          <w:p>
            <w:pPr>
              <w:spacing w:after="0" w:before="0" w:line="276" w:lineRule="auto"/>
            </w:pPr>
            <w:r>
              <w:rPr>
                <w:sz w:val="15"/>
                <w:szCs w:val="15"/>
              </w:rPr>
              <w:t xml:space="preserve">(p. ej.) R-09 enlace único entre el hospital y las clínicas — RHM</w:t>
            </w:r>
          </w:p>
        </w:tc>
        <w:tc>
          <w:tcPr>
            <w:tcW w:type="dxa" w:w="2100"/>
            <w:tcMar>
              <w:top w:type="dxa" w:w="70"/>
              <w:left w:type="dxa" w:w="110"/>
              <w:bottom w:type="dxa" w:w="70"/>
              <w:right w:type="dxa" w:w="110"/>
            </w:tcMar>
            <w:vAlign w:val="center"/>
          </w:tcPr>
          <w:p>
            <w:pPr>
              <w:spacing w:after="0" w:before="0" w:line="276" w:lineRule="auto"/>
            </w:pPr>
            <w:r>
              <w:rPr>
                <w:sz w:val="15"/>
                <w:szCs w:val="15"/>
              </w:rPr>
              <w:t xml:space="preserve">8.14 Redundancia de las instalaciones de procesamiento de la información</w:t>
            </w:r>
          </w:p>
        </w:tc>
        <w:tc>
          <w:tcPr>
            <w:tcW w:type="dxa" w:w="1800"/>
            <w:tcMar>
              <w:top w:type="dxa" w:w="70"/>
              <w:left w:type="dxa" w:w="110"/>
              <w:bottom w:type="dxa" w:w="70"/>
              <w:right w:type="dxa" w:w="110"/>
            </w:tcMar>
            <w:vAlign w:val="center"/>
          </w:tcPr>
          <w:p>
            <w:pPr>
              <w:spacing w:after="0" w:before="0" w:line="276" w:lineRule="auto"/>
            </w:pPr>
            <w:r>
              <w:rPr>
                <w:sz w:val="15"/>
                <w:szCs w:val="15"/>
              </w:rPr>
              <w:t xml:space="preserve">Segundo enlace con otro proveedor</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Dirección de TI</w:t>
            </w:r>
          </w:p>
        </w:tc>
        <w:tc>
          <w:tcPr>
            <w:tcW w:type="dxa" w:w="1000"/>
            <w:tcMar>
              <w:top w:type="dxa" w:w="70"/>
              <w:left w:type="dxa" w:w="110"/>
              <w:bottom w:type="dxa" w:w="70"/>
              <w:right w:type="dxa" w:w="110"/>
            </w:tcMar>
            <w:vAlign w:val="center"/>
          </w:tcPr>
          <w:p>
            <w:pPr>
              <w:spacing w:after="0" w:before="0" w:line="276" w:lineRule="auto"/>
            </w:pPr>
            <w:r>
              <w:rPr>
                <w:sz w:val="15"/>
                <w:szCs w:val="15"/>
              </w:rPr>
              <w:t xml:space="preserve">Corto</w:t>
            </w:r>
          </w:p>
        </w:tc>
        <w:tc>
          <w:tcPr>
            <w:tcW w:type="dxa" w:w="2036"/>
            <w:tcMar>
              <w:top w:type="dxa" w:w="70"/>
              <w:left w:type="dxa" w:w="110"/>
              <w:bottom w:type="dxa" w:w="70"/>
              <w:right w:type="dxa" w:w="110"/>
            </w:tcMar>
            <w:vAlign w:val="center"/>
          </w:tcPr>
          <w:p>
            <w:pPr>
              <w:spacing w:after="0" w:before="0" w:line="276" w:lineRule="auto"/>
            </w:pPr>
            <w:r>
              <w:rPr>
                <w:sz w:val="15"/>
                <w:szCs w:val="15"/>
              </w:rPr>
              <w:t xml:space="preserve">Conmutación probada en menos de 15 minutos</w:t>
            </w:r>
          </w:p>
        </w:tc>
      </w:tr>
      <w:tr>
        <w:trPr>
          <w:cantSplit/>
        </w:trPr>
        <w:tc>
          <w:tcPr>
            <w:tcW w:type="dxa" w:w="17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21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8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0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2036"/>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r>
    </w:tbl>
    <w:p>
      <w:pPr>
        <w:pStyle w:val="Heading2"/>
      </w:pPr>
      <w:r>
        <w:t xml:space="preserve">Supuestos declarados en este entregable</w:t>
      </w:r>
    </w:p>
    <w:p>
      <w:pPr>
        <w:spacing w:after="120" w:before="40" w:line="276" w:lineRule="auto"/>
      </w:pPr>
      <w:r>
        <w:t xml:space="preserve">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868"/>
        <w:gridCol w:w="3868"/>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 (S-nn, numeración global)</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u origen</w:t>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(p. ej.) S-07</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Horario de la sede regional de 7:00 a 17:00</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La ficha trae el horario de la sede principal y no el de la regional; se adopta el mismo y se confirma en la asesoría semanal</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Proyecto Final · E.10 Roadmap de madurez hacia el IG asignado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2026-09-26T23:15:13.308Z</dcterms:created>
  <dcterms:modified xsi:type="dcterms:W3CDTF">2026-09-26T23:15:13.308Z</dcterms:modified>
</cp:coreProperties>
</file>

<file path=docProps/custom.xml><?xml version="1.0" encoding="utf-8"?>
<Properties xmlns="http://schemas.openxmlformats.org/officeDocument/2006/custom-properties" xmlns:vt="http://schemas.openxmlformats.org/officeDocument/2006/docPropsVTypes"/>
</file>