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6"/>
          <w:szCs w:val="36"/>
        </w:rPr>
        <w:t xml:space="preserve">Línea base de seguridad de la información</w:t>
      </w:r>
    </w:p>
    <w:p>
      <w:pPr>
        <w:spacing w:after="120"/>
        <w:jc w:val="center"/>
      </w:pPr>
      <w:r>
        <w:rPr>
          <w:color w:val="262626"/>
          <w:sz w:val="28"/>
          <w:szCs w:val="28"/>
        </w:rPr>
        <w:t xml:space="preserve">&lt;Nombre de la organización del catálogo&gt; — IG3</w:t>
      </w:r>
    </w:p>
    <w:p>
      <w:pPr>
        <w:spacing w:after="400"/>
        <w:jc w:val="center"/>
      </w:pPr>
      <w:r>
        <w:rPr>
          <w:color w:val="262626"/>
          <w:sz w:val="24"/>
          <w:szCs w:val="24"/>
        </w:rPr>
        <w:t xml:space="preserve">Informe del equipo consultor &lt;Equipo&gt; · Proyecto Final · Entregable E.11</w:t>
      </w:r>
    </w:p>
    <w:p>
      <w:pPr>
        <w:spacing w:after="120" w:before="40" w:line="276" w:lineRule="auto"/>
        <w:jc w:val="center"/>
      </w:pPr>
      <w:r>
        <w:rPr>
          <w:color w:val="595959"/>
          <w:sz w:val="22"/>
          <w:szCs w:val="22"/>
        </w:rPr>
        <w:t xml:space="preserve">Formato oficial del entregable E.11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Registro formal del documento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0"/>
        <w:gridCol w:w="5736"/>
      </w:tblGrid>
      <w:tr>
        <w:trPr>
          <w:tblHeader/>
        </w:trPr>
        <w:tc>
          <w:tcPr>
            <w:tcW w:type="dxa" w:w="4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5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Organización (n.º y nombre del catálogo)</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5736"/>
            <w:shd w:fill="F2F7FB" w:val="clear"/>
            <w:tcMar>
              <w:top w:type="dxa" w:w="70"/>
              <w:left w:type="dxa" w:w="110"/>
              <w:bottom w:type="dxa" w:w="70"/>
              <w:right w:type="dxa" w:w="110"/>
            </w:tcMar>
            <w:vAlign w:val="center"/>
          </w:tcPr>
          <w:p>
            <w:pPr>
              <w:spacing w:after="0" w:before="0" w:line="276" w:lineRule="auto"/>
            </w:pPr>
            <w:r>
              <w:rPr>
                <w:sz w:val="19"/>
                <w:szCs w:val="19"/>
              </w:rPr>
              <w:t xml:space="preserve">IG3</w:t>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Equipo consultor</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y fecha</w:t>
            </w:r>
          </w:p>
        </w:tc>
        <w:tc>
          <w:tcPr>
            <w:tcW w:type="dxa" w:w="57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Elaboró (oficial de documentación)</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9"/>
                <w:szCs w:val="19"/>
              </w:rPr>
              <w:t xml:space="preserve">Revisó (oficial de calidad)</w:t>
            </w:r>
          </w:p>
        </w:tc>
        <w:tc>
          <w:tcPr>
            <w:tcW w:type="dxa" w:w="57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Aprobó (consultor líder)</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bl>
    <w:p>
      <w:pPr>
        <w:spacing w:after="120" w:before="40" w:line="276" w:lineRule="auto"/>
      </w:pPr>
      <w:r>
        <w:t xml:space="preserve">Cada sección toma el entregable indicado en su versión corregida tras la retroalimentación del hito, en el orden fijo de la Guía del Estudiante del Proyecto Final (E.11). El párrafo «Contenido de la sección» de cada apartado se sustituye por el contenido del equipo.</w:t>
      </w:r>
    </w:p>
    <w:p>
      <w:pPr>
        <w:pStyle w:val="Heading1"/>
      </w:pPr>
      <w:r>
        <w:t xml:space="preserve">1. Portada y datos generales</w:t>
      </w:r>
    </w:p>
    <w:p>
      <w:pPr>
        <w:spacing w:after="120" w:before="40" w:line="276" w:lineRule="auto"/>
      </w:pPr>
      <w:r>
        <w:t xml:space="preserve">Contenido de la sección: Organización, IG asignado, equipo con roles, fecha, versión.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200"/>
        <w:gridCol w:w="5736"/>
      </w:tblGrid>
      <w:tr>
        <w:trPr>
          <w:tblHeader/>
        </w:trPr>
        <w:tc>
          <w:tcPr>
            <w:tcW w:type="dxa" w:w="4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5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Organización y sector</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5736"/>
            <w:shd w:fill="F2F7FB" w:val="clear"/>
            <w:tcMar>
              <w:top w:type="dxa" w:w="70"/>
              <w:left w:type="dxa" w:w="110"/>
              <w:bottom w:type="dxa" w:w="70"/>
              <w:right w:type="dxa" w:w="110"/>
            </w:tcMar>
            <w:vAlign w:val="center"/>
          </w:tcPr>
          <w:p>
            <w:pPr>
              <w:spacing w:after="0" w:before="0" w:line="276" w:lineRule="auto"/>
            </w:pPr>
            <w:r>
              <w:rPr>
                <w:sz w:val="19"/>
                <w:szCs w:val="19"/>
              </w:rPr>
              <w:t xml:space="preserve">IG3</w:t>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Equipo, integrantes y roles</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4200"/>
            <w:shd w:fill="F2F7FB" w:val="clear"/>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5736"/>
            <w:shd w:fill="F2F7FB" w:val="clear"/>
            <w:tcMar>
              <w:top w:type="dxa" w:w="70"/>
              <w:left w:type="dxa" w:w="110"/>
              <w:bottom w:type="dxa" w:w="70"/>
              <w:right w:type="dxa" w:w="110"/>
            </w:tcMar>
            <w:vAlign w:val="center"/>
          </w:tcPr>
          <w:p>
            <w:pPr>
              <w:spacing w:after="0" w:before="0" w:line="276" w:lineRule="auto"/>
            </w:pPr>
            <w:r>
              <w:rPr>
                <w:sz w:val="19"/>
                <w:szCs w:val="19"/>
              </w:rPr>
              <w:t xml:space="preserve">Miércoles 11 de noviembre de 2026</w:t>
            </w:r>
          </w:p>
        </w:tc>
      </w:tr>
      <w:tr>
        <w:trPr>
          <w:cantSplit/>
        </w:trPr>
        <w:tc>
          <w:tcPr>
            <w:tcW w:type="dxa" w:w="4200"/>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5736"/>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Introducción y compromiso de la dirección</w:t>
      </w:r>
    </w:p>
    <w:p>
      <w:pPr>
        <w:spacing w:after="120" w:before="40" w:line="276" w:lineRule="auto"/>
      </w:pPr>
      <w:r>
        <w:t xml:space="preserve">Contenido de la sección: De E.02, A.1, con la firma de la dirección simulada y del responsable de seguridad al cierre de la sección.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136"/>
        <w:gridCol w:w="1800"/>
      </w:tblGrid>
      <w:tr>
        <w:trPr>
          <w:tblHeader/>
        </w:trPr>
        <w:tc>
          <w:tcPr>
            <w:tcW w:type="dxa" w:w="3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Firmante</w:t>
            </w:r>
          </w:p>
        </w:tc>
        <w:tc>
          <w:tcPr>
            <w:tcW w:type="dxa" w:w="2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Cargo</w:t>
            </w:r>
          </w:p>
        </w:tc>
        <w:tc>
          <w:tcPr>
            <w:tcW w:type="dxa" w:w="21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Firma</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Fecha</w:t>
            </w:r>
          </w:p>
        </w:tc>
      </w:tr>
      <w:tr>
        <w:trPr>
          <w:cantSplit/>
        </w:trPr>
        <w:tc>
          <w:tcPr>
            <w:tcW w:type="dxa" w:w="3200"/>
            <w:tcMar>
              <w:top w:type="dxa" w:w="70"/>
              <w:left w:type="dxa" w:w="110"/>
              <w:bottom w:type="dxa" w:w="70"/>
              <w:right w:type="dxa" w:w="110"/>
            </w:tcMar>
            <w:vAlign w:val="center"/>
          </w:tcPr>
          <w:p>
            <w:pPr>
              <w:spacing w:after="0" w:before="0" w:line="276" w:lineRule="auto"/>
            </w:pPr>
            <w:r>
              <w:rPr>
                <w:sz w:val="16"/>
                <w:szCs w:val="16"/>
              </w:rPr>
              <w:t xml:space="preserve">Dirección general (simulada)</w:t>
            </w:r>
          </w:p>
        </w:tc>
        <w:tc>
          <w:tcPr>
            <w:tcW w:type="dxa" w:w="2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136"/>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3200"/>
            <w:shd w:fill="F2F7FB" w:val="clear"/>
            <w:tcMar>
              <w:top w:type="dxa" w:w="70"/>
              <w:left w:type="dxa" w:w="110"/>
              <w:bottom w:type="dxa" w:w="70"/>
              <w:right w:type="dxa" w:w="110"/>
            </w:tcMar>
            <w:vAlign w:val="center"/>
          </w:tcPr>
          <w:p>
            <w:pPr>
              <w:spacing w:after="0" w:before="0" w:line="276" w:lineRule="auto"/>
            </w:pPr>
            <w:r>
              <w:rPr>
                <w:sz w:val="16"/>
                <w:szCs w:val="16"/>
              </w:rPr>
              <w:t xml:space="preserve">Responsable de seguridad de la información</w:t>
            </w:r>
          </w:p>
        </w:tc>
        <w:tc>
          <w:tcPr>
            <w:tcW w:type="dxa" w:w="2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1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bl>
    <w:p>
      <w:pPr>
        <w:pStyle w:val="Heading1"/>
      </w:pPr>
      <w:r>
        <w:t xml:space="preserve">3. Alcance del SGSI</w:t>
      </w:r>
    </w:p>
    <w:p>
      <w:pPr>
        <w:spacing w:after="120" w:before="40" w:line="276" w:lineRule="auto"/>
      </w:pPr>
      <w:r>
        <w:t xml:space="preserve">Contenido de la sección: De E.02, A.2, con la revisión A.3 de su versión 1.1.</w:t>
      </w:r>
    </w:p>
    <w:p>
      <w:pPr>
        <w:pStyle w:val="Heading1"/>
      </w:pPr>
      <w:r>
        <w:t xml:space="preserve">4. BIA</w:t>
      </w:r>
    </w:p>
    <w:p>
      <w:pPr>
        <w:spacing w:after="120" w:before="40" w:line="276" w:lineRule="auto"/>
      </w:pPr>
      <w:r>
        <w:t xml:space="preserve">Contenido de la sección: Consolidación de E.03 en su versión 1.1; los anexos BIA_P01–P07 se adjuntan al final del PDF y se listan en el Anexo C.</w:t>
      </w:r>
    </w:p>
    <w:p>
      <w:pPr>
        <w:pStyle w:val="Heading1"/>
      </w:pPr>
      <w:r>
        <w:t xml:space="preserve">5. Inventario y clasificación de activos</w:t>
      </w:r>
    </w:p>
    <w:p>
      <w:pPr>
        <w:spacing w:after="120" w:before="40" w:line="276" w:lineRule="auto"/>
      </w:pPr>
      <w:r>
        <w:t xml:space="preserve">Contenido de la sección: De E.04.</w:t>
      </w:r>
    </w:p>
    <w:p>
      <w:pPr>
        <w:pStyle w:val="Heading1"/>
      </w:pPr>
      <w:r>
        <w:t xml:space="preserve">6. Matriz de riesgos y mapa de calor</w:t>
      </w:r>
    </w:p>
    <w:p>
      <w:pPr>
        <w:spacing w:after="120" w:before="40" w:line="276" w:lineRule="auto"/>
      </w:pPr>
      <w:r>
        <w:t xml:space="preserve">Contenido de la sección: De E.05, con apetito de riesgo y cuantificación de los Críticos.</w:t>
      </w:r>
    </w:p>
    <w:p>
      <w:pPr>
        <w:pStyle w:val="Heading1"/>
      </w:pPr>
      <w:r>
        <w:t xml:space="preserve">7. Matriz RACI</w:t>
      </w:r>
    </w:p>
    <w:p>
      <w:pPr>
        <w:spacing w:after="120" w:before="40" w:line="276" w:lineRule="auto"/>
      </w:pPr>
      <w:r>
        <w:t xml:space="preserve">Contenido de la sección: De E.06.</w:t>
      </w:r>
    </w:p>
    <w:p>
      <w:pPr>
        <w:pStyle w:val="Heading1"/>
      </w:pPr>
      <w:r>
        <w:t xml:space="preserve">8. Controles seleccionados (6)</w:t>
      </w:r>
    </w:p>
    <w:p>
      <w:pPr>
        <w:spacing w:after="120" w:before="40" w:line="276" w:lineRule="auto"/>
      </w:pPr>
      <w:r>
        <w:t xml:space="preserve">Contenido de la sección: De E.07, una subsección por control.</w:t>
      </w:r>
    </w:p>
    <w:p>
      <w:pPr>
        <w:pStyle w:val="Heading2"/>
      </w:pPr>
      <w:r>
        <w:t xml:space="preserve">8.1 Control CIS v8.1 n.º __ — nombre oficial (de E.07)</w:t>
      </w:r>
    </w:p>
    <w:p>
      <w:pPr>
        <w:pStyle w:val="Heading2"/>
      </w:pPr>
      <w:r>
        <w:t xml:space="preserve">8.2 Control CIS v8.1 n.º __ — nombre oficial (de E.07)</w:t>
      </w:r>
    </w:p>
    <w:p>
      <w:pPr>
        <w:pStyle w:val="Heading2"/>
      </w:pPr>
      <w:r>
        <w:t xml:space="preserve">8.3 Control CIS v8.1 n.º __ — nombre oficial (de E.07)</w:t>
      </w:r>
    </w:p>
    <w:p>
      <w:pPr>
        <w:pStyle w:val="Heading2"/>
      </w:pPr>
      <w:r>
        <w:t xml:space="preserve">8.4 Control CIS v8.1 n.º __ — nombre oficial (de E.07)</w:t>
      </w:r>
    </w:p>
    <w:p>
      <w:pPr>
        <w:pStyle w:val="Heading2"/>
      </w:pPr>
      <w:r>
        <w:t xml:space="preserve">8.5 Control CIS v8.1 n.º __ — nombre oficial (de E.07)</w:t>
      </w:r>
    </w:p>
    <w:p>
      <w:pPr>
        <w:pStyle w:val="Heading2"/>
      </w:pPr>
      <w:r>
        <w:t xml:space="preserve">8.6 Control CIS v8.1 n.º __ — nombre oficial (de E.07)</w:t>
      </w:r>
    </w:p>
    <w:p>
      <w:pPr>
        <w:pStyle w:val="Heading1"/>
      </w:pPr>
      <w:r>
        <w:t xml:space="preserve">9. Baseline según el IG asignado</w:t>
      </w:r>
    </w:p>
    <w:p>
      <w:pPr>
        <w:spacing w:after="120" w:before="40" w:line="276" w:lineRule="auto"/>
      </w:pPr>
      <w:r>
        <w:t xml:space="preserve">Contenido de la sección: De E.08, con resumen por estado.</w:t>
      </w:r>
    </w:p>
    <w:p>
      <w:pPr>
        <w:pStyle w:val="Heading1"/>
      </w:pPr>
      <w:r>
        <w:t xml:space="preserve">10. Indicadores y auditoría interna</w:t>
      </w:r>
    </w:p>
    <w:p>
      <w:pPr>
        <w:spacing w:after="120" w:before="40" w:line="276" w:lineRule="auto"/>
      </w:pPr>
      <w:r>
        <w:t xml:space="preserve">Contenido de la sección: De E.09.</w:t>
      </w:r>
    </w:p>
    <w:p>
      <w:pPr>
        <w:pStyle w:val="Heading1"/>
      </w:pPr>
      <w:r>
        <w:t xml:space="preserve">11. Roadmap de madurez</w:t>
      </w:r>
    </w:p>
    <w:p>
      <w:pPr>
        <w:spacing w:after="120" w:before="40" w:line="276" w:lineRule="auto"/>
      </w:pPr>
      <w:r>
        <w:t xml:space="preserve">Contenido de la sección: De E.10.</w:t>
      </w:r>
    </w:p>
    <w:p>
      <w:pPr>
        <w:pStyle w:val="Heading1"/>
      </w:pPr>
      <w:r>
        <w:t xml:space="preserve">12. Conclusiones y recomendaciones al cliente</w:t>
      </w:r>
    </w:p>
    <w:p>
      <w:pPr>
        <w:spacing w:after="120" w:before="40" w:line="276" w:lineRule="auto"/>
      </w:pPr>
      <w:r>
        <w:t xml:space="preserve">Contenido de la sección: Redacción nueva del equipo.</w:t>
      </w:r>
    </w:p>
    <w:p>
      <w:pPr>
        <w:pStyle w:val="Heading1"/>
      </w:pPr>
      <w:r>
        <w:t xml:space="preserve">13. Bibliografía</w:t>
      </w:r>
    </w:p>
    <w:p>
      <w:pPr>
        <w:spacing w:after="120" w:before="40" w:line="276" w:lineRule="auto"/>
      </w:pPr>
      <w:r>
        <w:t xml:space="preserve">Contenido de la sección: Ediciones y años.</w:t>
      </w:r>
    </w:p>
    <w:p>
      <w:pPr>
        <w:pStyle w:val="ListParagraph"/>
        <w:numPr>
          <w:ilvl w:val="0"/>
          <w:numId w:val="2"/>
        </w:numPr>
        <w:spacing w:after="70" w:line="270" w:lineRule="auto"/>
      </w:pPr>
      <w:r>
        <w:t xml:space="preserve">Center for Internet Security (2024). CIS Critical Security Controls, versión 8.1.</w:t>
      </w:r>
    </w:p>
    <w:p>
      <w:pPr>
        <w:pStyle w:val="ListParagraph"/>
        <w:numPr>
          <w:ilvl w:val="0"/>
          <w:numId w:val="2"/>
        </w:numPr>
        <w:spacing w:after="70" w:line="270" w:lineRule="auto"/>
      </w:pPr>
      <w:r>
        <w:t xml:space="preserve">ISO/IEC 27001:2022 e ISO/IEC 27002:2022.</w:t>
      </w:r>
    </w:p>
    <w:p>
      <w:pPr>
        <w:pStyle w:val="ListParagraph"/>
        <w:numPr>
          <w:ilvl w:val="0"/>
          <w:numId w:val="2"/>
        </w:numPr>
        <w:spacing w:after="70" w:line="270" w:lineRule="auto"/>
      </w:pPr>
      <w:r>
        <w:t xml:space="preserve">NIST (2012). SP 800-30 Rev. 1; NIST (2024). Cybersecurity Framework (CSF) 2.0.</w:t>
      </w:r>
    </w:p>
    <w:p>
      <w:pPr>
        <w:pStyle w:val="ListParagraph"/>
        <w:numPr>
          <w:ilvl w:val="0"/>
          <w:numId w:val="2"/>
        </w:numPr>
        <w:spacing w:after="70" w:line="270" w:lineRule="auto"/>
      </w:pPr>
      <w:r>
        <w:t xml:space="preserve">ISO 22301:2019 e ISO/TS 22317:2021.</w:t>
      </w:r>
    </w:p>
    <w:p>
      <w:pPr>
        <w:pStyle w:val="ListParagraph"/>
        <w:numPr>
          <w:ilvl w:val="0"/>
          <w:numId w:val="2"/>
        </w:numPr>
        <w:spacing w:after="70" w:line="270" w:lineRule="auto"/>
      </w:pPr>
      <w:r>
        <w:t xml:space="preserve">Ley para la Protección de Datos Personales (D.L. 144, D.O. 15-nov-2024) y, cuando aplican, Ley de Ciberseguridad y Seguridad de la Información (D.L. 143) y PCI DSS v4.0.1 (2024).</w:t>
      </w:r>
    </w:p>
    <w:p>
      <w:pPr>
        <w:pStyle w:val="ListParagraph"/>
        <w:numPr>
          <w:ilvl w:val="0"/>
          <w:numId w:val="2"/>
        </w:numPr>
        <w:spacing w:after="70" w:line="270" w:lineRule="auto"/>
      </w:pPr>
      <w:r>
        <w:t xml:space="preserve">CIS Benchmarks citados, con producto y versión, y reportes citados con edición y año.</w:t>
      </w:r>
    </w:p>
    <w:p>
      <w:pPr>
        <w:pStyle w:val="Heading1"/>
      </w:pPr>
      <w:r>
        <w:t xml:space="preserve">Anexo A — Registro consolidado de supuestos</w:t>
      </w:r>
    </w:p>
    <w:p>
      <w:pPr>
        <w:spacing w:after="120" w:before="40" w:line="276" w:lineRule="auto"/>
      </w:pPr>
      <w:r>
        <w:t xml:space="preserve">Todos los supuestos declarados de E.01 a E.10, en el orden de su identificador global. Un dato que la ficha de datos del cliente trae nunca figura aquí como supuesto.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500"/>
        <w:gridCol w:w="1836"/>
      </w:tblGrid>
      <w:tr>
        <w:trPr>
          <w:tblHeader/>
        </w:trPr>
        <w:tc>
          <w:tcPr>
            <w:tcW w:type="dxa" w:w="9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w:t>
            </w:r>
          </w:p>
        </w:tc>
        <w:tc>
          <w:tcPr>
            <w:tcW w:type="dxa" w:w="3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5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c>
          <w:tcPr>
            <w:tcW w:type="dxa" w:w="18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Entregable que lo declaró</w:t>
            </w:r>
          </w:p>
        </w:tc>
      </w:tr>
      <w:tr>
        <w:trPr>
          <w:cantSplit/>
        </w:trPr>
        <w:tc>
          <w:tcPr>
            <w:tcW w:type="dxa" w:w="900"/>
            <w:tcMar>
              <w:top w:type="dxa" w:w="70"/>
              <w:left w:type="dxa" w:w="110"/>
              <w:bottom w:type="dxa" w:w="70"/>
              <w:right w:type="dxa" w:w="110"/>
            </w:tcMar>
            <w:vAlign w:val="center"/>
          </w:tcPr>
          <w:p>
            <w:pPr>
              <w:spacing w:after="0" w:before="0" w:line="276" w:lineRule="auto"/>
            </w:pPr>
            <w:r>
              <w:rPr>
                <w:sz w:val="16"/>
                <w:szCs w:val="16"/>
              </w:rPr>
              <w:t xml:space="preserve">S-01</w:t>
            </w:r>
          </w:p>
        </w:tc>
        <w:tc>
          <w:tcPr>
            <w:tcW w:type="dxa" w:w="37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5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9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7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5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8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bl>
    <w:p>
      <w:pPr>
        <w:pStyle w:val="Heading1"/>
      </w:pPr>
      <w:r>
        <w:t xml:space="preserve">Anexo B — Retroalimentación aplicada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1736"/>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Hito</w:t>
            </w:r>
          </w:p>
        </w:tc>
        <w:tc>
          <w:tcPr>
            <w:tcW w:type="dxa" w:w="3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Retroalimentación recibida</w:t>
            </w:r>
          </w:p>
        </w:tc>
        <w:tc>
          <w:tcPr>
            <w:tcW w:type="dxa" w:w="30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Cambio aplicado</w:t>
            </w:r>
          </w:p>
        </w:tc>
        <w:tc>
          <w:tcPr>
            <w:tcW w:type="dxa" w:w="17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Sección afectada</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H1 (E.01, E.02)</w:t>
            </w:r>
          </w:p>
        </w:tc>
        <w:tc>
          <w:tcPr>
            <w:tcW w:type="dxa" w:w="3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H2 (E.03, E.04)</w:t>
            </w:r>
          </w:p>
        </w:tc>
        <w:tc>
          <w:tcPr>
            <w:tcW w:type="dxa" w:w="3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H3 (E.05, E.06)</w:t>
            </w:r>
          </w:p>
        </w:tc>
        <w:tc>
          <w:tcPr>
            <w:tcW w:type="dxa" w:w="3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0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H4 (E.07, E.08, E.09)</w:t>
            </w:r>
          </w:p>
        </w:tc>
        <w:tc>
          <w:tcPr>
            <w:tcW w:type="dxa" w:w="3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30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17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bl>
    <w:p>
      <w:pPr>
        <w:spacing w:after="120" w:before="40" w:line="276" w:lineRule="auto"/>
      </w:pPr>
      <w:r>
        <w:t xml:space="preserve">El hito que no tuvo retroalimentación lleva en su fila «sin retroalimentación recibida».</w:t>
      </w:r>
    </w:p>
    <w:p>
      <w:pPr>
        <w:pStyle w:val="Heading1"/>
      </w:pPr>
      <w:r>
        <w:t xml:space="preserve">Anexo C — Anexos del BIA</w:t>
      </w:r>
    </w:p>
    <w:p>
      <w:pPr>
        <w:spacing w:after="120" w:before="40" w:line="276" w:lineRule="auto"/>
      </w:pPr>
      <w:r>
        <w:t xml:space="preserve">Los siete anexos se adjuntan al final del PDF en su versión final; esta tabla los lista en el DOCX.</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936"/>
      </w:tblGrid>
      <w:tr>
        <w:trPr>
          <w:tblHeader/>
        </w:trPr>
        <w:tc>
          <w:tcPr>
            <w:tcW w:type="dxa" w:w="5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Anexo</w:t>
            </w:r>
          </w:p>
        </w:tc>
        <w:tc>
          <w:tcPr>
            <w:tcW w:type="dxa" w:w="18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Versión</w:t>
            </w:r>
          </w:p>
        </w:tc>
        <w:tc>
          <w:tcPr>
            <w:tcW w:type="dxa" w:w="29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Páginas en el PDF final</w:t>
            </w:r>
          </w:p>
        </w:tc>
      </w:tr>
      <w:tr>
        <w:trPr>
          <w:cantSplit/>
        </w:trPr>
        <w:tc>
          <w:tcPr>
            <w:tcW w:type="dxa" w:w="5200"/>
            <w:tcMar>
              <w:top w:type="dxa" w:w="70"/>
              <w:left w:type="dxa" w:w="110"/>
              <w:bottom w:type="dxa" w:w="70"/>
              <w:right w:type="dxa" w:w="110"/>
            </w:tcMar>
            <w:vAlign w:val="center"/>
          </w:tcPr>
          <w:p>
            <w:pPr>
              <w:spacing w:after="0" w:before="0" w:line="276" w:lineRule="auto"/>
            </w:pPr>
            <w:r>
              <w:rPr>
                <w:sz w:val="16"/>
                <w:szCs w:val="16"/>
              </w:rPr>
              <w:t xml:space="preserve">BIA_P01 Inventario de procesos</w:t>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200"/>
            <w:shd w:fill="F2F7FB" w:val="clear"/>
            <w:tcMar>
              <w:top w:type="dxa" w:w="70"/>
              <w:left w:type="dxa" w:w="110"/>
              <w:bottom w:type="dxa" w:w="70"/>
              <w:right w:type="dxa" w:w="110"/>
            </w:tcMar>
            <w:vAlign w:val="center"/>
          </w:tcPr>
          <w:p>
            <w:pPr>
              <w:spacing w:after="0" w:before="0" w:line="276" w:lineRule="auto"/>
            </w:pPr>
            <w:r>
              <w:rPr>
                <w:sz w:val="16"/>
                <w:szCs w:val="16"/>
              </w:rPr>
              <w:t xml:space="preserve">BIA_P02 Fichas BIA de los procesos críticos</w:t>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200"/>
            <w:tcMar>
              <w:top w:type="dxa" w:w="70"/>
              <w:left w:type="dxa" w:w="110"/>
              <w:bottom w:type="dxa" w:w="70"/>
              <w:right w:type="dxa" w:w="110"/>
            </w:tcMar>
            <w:vAlign w:val="center"/>
          </w:tcPr>
          <w:p>
            <w:pPr>
              <w:spacing w:after="0" w:before="0" w:line="276" w:lineRule="auto"/>
            </w:pPr>
            <w:r>
              <w:rPr>
                <w:sz w:val="16"/>
                <w:szCs w:val="16"/>
              </w:rPr>
              <w:t xml:space="preserve">BIA_P03 Matrices de impacto</w:t>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200"/>
            <w:shd w:fill="F2F7FB" w:val="clear"/>
            <w:tcMar>
              <w:top w:type="dxa" w:w="70"/>
              <w:left w:type="dxa" w:w="110"/>
              <w:bottom w:type="dxa" w:w="70"/>
              <w:right w:type="dxa" w:w="110"/>
            </w:tcMar>
            <w:vAlign w:val="center"/>
          </w:tcPr>
          <w:p>
            <w:pPr>
              <w:spacing w:after="0" w:before="0" w:line="276" w:lineRule="auto"/>
            </w:pPr>
            <w:r>
              <w:rPr>
                <w:sz w:val="16"/>
                <w:szCs w:val="16"/>
              </w:rPr>
              <w:t xml:space="preserve">BIA_P04 Mapas de dependencias</w:t>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200"/>
            <w:tcMar>
              <w:top w:type="dxa" w:w="70"/>
              <w:left w:type="dxa" w:w="110"/>
              <w:bottom w:type="dxa" w:w="70"/>
              <w:right w:type="dxa" w:w="110"/>
            </w:tcMar>
            <w:vAlign w:val="center"/>
          </w:tcPr>
          <w:p>
            <w:pPr>
              <w:spacing w:after="0" w:before="0" w:line="276" w:lineRule="auto"/>
            </w:pPr>
            <w:r>
              <w:rPr>
                <w:sz w:val="16"/>
                <w:szCs w:val="16"/>
              </w:rPr>
              <w:t xml:space="preserve">BIA_P05 Matriz de criticidad</w:t>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200"/>
            <w:shd w:fill="F2F7FB" w:val="clear"/>
            <w:tcMar>
              <w:top w:type="dxa" w:w="70"/>
              <w:left w:type="dxa" w:w="110"/>
              <w:bottom w:type="dxa" w:w="70"/>
              <w:right w:type="dxa" w:w="110"/>
            </w:tcMar>
            <w:vAlign w:val="center"/>
          </w:tcPr>
          <w:p>
            <w:pPr>
              <w:spacing w:after="0" w:before="0" w:line="276" w:lineRule="auto"/>
            </w:pPr>
            <w:r>
              <w:rPr>
                <w:sz w:val="16"/>
                <w:szCs w:val="16"/>
              </w:rPr>
              <w:t xml:space="preserve">BIA_P06 Supuestos, puntos únicos de falla y brechas</w:t>
            </w:r>
          </w:p>
        </w:tc>
        <w:tc>
          <w:tcPr>
            <w:tcW w:type="dxa" w:w="1800"/>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shd w:fill="F2F7FB" w:val="clear"/>
            <w:tcMar>
              <w:top w:type="dxa" w:w="70"/>
              <w:left w:type="dxa" w:w="110"/>
              <w:bottom w:type="dxa" w:w="70"/>
              <w:right w:type="dxa" w:w="110"/>
            </w:tcMar>
            <w:vAlign w:val="center"/>
          </w:tcPr>
          <w:p>
            <w:pPr>
              <w:spacing w:after="0" w:before="0" w:line="276" w:lineRule="auto"/>
            </w:pPr>
            <w:r>
              <w:rPr>
                <w:sz w:val="16"/>
                <w:szCs w:val="16"/>
              </w:rPr>
              <w:t xml:space="preserve"/>
            </w:r>
          </w:p>
        </w:tc>
      </w:tr>
      <w:tr>
        <w:trPr>
          <w:cantSplit/>
        </w:trPr>
        <w:tc>
          <w:tcPr>
            <w:tcW w:type="dxa" w:w="5200"/>
            <w:tcMar>
              <w:top w:type="dxa" w:w="70"/>
              <w:left w:type="dxa" w:w="110"/>
              <w:bottom w:type="dxa" w:w="70"/>
              <w:right w:type="dxa" w:w="110"/>
            </w:tcMar>
            <w:vAlign w:val="center"/>
          </w:tcPr>
          <w:p>
            <w:pPr>
              <w:spacing w:after="0" w:before="0" w:line="276" w:lineRule="auto"/>
            </w:pPr>
            <w:r>
              <w:rPr>
                <w:sz w:val="16"/>
                <w:szCs w:val="16"/>
              </w:rPr>
              <w:t xml:space="preserve">BIA_P07 Informe ejecutivo</w:t>
            </w:r>
          </w:p>
        </w:tc>
        <w:tc>
          <w:tcPr>
            <w:tcW w:type="dxa" w:w="1800"/>
            <w:tcMar>
              <w:top w:type="dxa" w:w="70"/>
              <w:left w:type="dxa" w:w="110"/>
              <w:bottom w:type="dxa" w:w="70"/>
              <w:right w:type="dxa" w:w="110"/>
            </w:tcMar>
            <w:vAlign w:val="center"/>
          </w:tcPr>
          <w:p>
            <w:pPr>
              <w:spacing w:after="0" w:before="0" w:line="276" w:lineRule="auto"/>
            </w:pPr>
            <w:r>
              <w:rPr>
                <w:sz w:val="16"/>
                <w:szCs w:val="16"/>
              </w:rPr>
              <w:t xml:space="preserve"/>
            </w:r>
          </w:p>
        </w:tc>
        <w:tc>
          <w:tcPr>
            <w:tcW w:type="dxa" w:w="2936"/>
            <w:tcMar>
              <w:top w:type="dxa" w:w="70"/>
              <w:left w:type="dxa" w:w="110"/>
              <w:bottom w:type="dxa" w:w="70"/>
              <w:right w:type="dxa" w:w="110"/>
            </w:tcMar>
            <w:vAlign w:val="center"/>
          </w:tcPr>
          <w:p>
            <w:pPr>
              <w:spacing w:after="0" w:before="0" w:line="276" w:lineRule="auto"/>
            </w:pPr>
            <w:r>
              <w:rPr>
                <w:sz w:val="16"/>
                <w:szCs w:val="16"/>
              </w:rPr>
              <w:t xml:space="preserve"/>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E.11 Documento final integrado: línea base de seguridad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2026-09-26T23:15:13.453Z</dcterms:created>
  <dcterms:modified xsi:type="dcterms:W3CDTF">2026-09-26T23:15:13.453Z</dcterms:modified>
</cp:coreProperties>
</file>

<file path=docProps/custom.xml><?xml version="1.0" encoding="utf-8"?>
<Properties xmlns="http://schemas.openxmlformats.org/officeDocument/2006/custom-properties" xmlns:vt="http://schemas.openxmlformats.org/officeDocument/2006/docPropsVTypes"/>
</file>