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20"/>
      </w:pPr>
    </w:p>
    <w:p>
      <w:pPr>
        <w:spacing w:after="260"/>
        <w:jc w:val="center"/>
      </w:pPr>
      <w:r>
        <w:drawing>
          <wp:inline distT="0" distB="0" distL="0" distR="0">
            <wp:extent cx="1047750" cy="1047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3864"/>
          <w:sz w:val="46"/>
          <w:szCs w:val="46"/>
        </w:rPr>
        <w:t xml:space="preserve">C I B E R S E G U R I D A D</w:t>
      </w:r>
    </w:p>
    <w:p>
      <w:pPr>
        <w:spacing w:after="60"/>
        <w:jc w:val="center"/>
      </w:pPr>
      <w:r>
        <w:rPr>
          <w:b/>
          <w:bCs/>
          <w:color w:val="2E5395"/>
          <w:sz w:val="34"/>
          <w:szCs w:val="34"/>
        </w:rPr>
        <w:t xml:space="preserve">Inventario de procesos de negocio</w:t>
      </w:r>
    </w:p>
    <w:p>
      <w:pPr>
        <w:spacing w:after="240"/>
        <w:jc w:val="center"/>
      </w:pPr>
      <w:r>
        <w:rPr>
          <w:color w:val="262626"/>
          <w:sz w:val="24"/>
          <w:szCs w:val="24"/>
        </w:rPr>
        <w:t xml:space="preserve">El universo del análisis de impacto</w:t>
      </w:r>
    </w:p>
    <w:p>
      <w:pPr>
        <w:spacing w:after="120" w:before="40" w:line="276" w:lineRule="auto"/>
        <w:jc w:val="center"/>
      </w:pPr>
      <w:r>
        <w:rPr>
          <w:color w:val="595959"/>
          <w:sz w:val="20"/>
          <w:szCs w:val="20"/>
        </w:rPr>
        <w:t xml:space="preserve">Análisis de Impacto en el Negocio · Plantilla 01 de 07</w:t>
      </w:r>
    </w:p>
    <w:p>
      <w:pPr>
        <w:spacing w:after="120" w:before="40" w:line="276" w:lineRule="auto"/>
        <w:jc w:val="center"/>
      </w:pPr>
      <w:r>
        <w:rPr>
          <w:color w:val="595959"/>
          <w:sz w:val="19"/>
          <w:szCs w:val="19"/>
        </w:rPr>
        <w:t xml:space="preserve">ISO 22301:2019 · ISO/TS 22317:2021 · NIST SP 800-34 Rev. 1</w:t>
      </w:r>
    </w:p>
    <w:p>
      <w:pPr>
        <w:spacing w:after="160"/>
      </w:pPr>
    </w:p>
    <w:p>
      <w:pPr>
        <w:spacing w:after="120" w:before="40" w:line="276" w:lineRule="auto"/>
        <w:jc w:val="center"/>
      </w:pPr>
      <w:r>
        <w:rPr>
          <w:b/>
          <w:bCs/>
          <w:sz w:val="22"/>
          <w:szCs w:val="22"/>
        </w:rPr>
        <w:t xml:space="preserve">Docente:</w:t>
      </w:r>
      <w:r>
        <w:rPr>
          <w:sz w:val="22"/>
          <w:szCs w:val="22"/>
        </w:rPr>
        <w:t xml:space="preserve"> Ing. Héctor Cuchilla</w:t>
      </w:r>
    </w:p>
    <w:p>
      <w:pPr>
        <w:spacing w:after="120" w:before="40" w:line="276" w:lineRule="auto"/>
        <w:jc w:val="center"/>
      </w:pPr>
      <w:r>
        <w:rPr>
          <w:color w:val="595959"/>
          <w:sz w:val="20"/>
          <w:szCs w:val="20"/>
        </w:rPr>
        <w:t xml:space="preserve">ESEN – CIBERSEGURIDAD – CICLO 03 – 2026</w:t>
      </w:r>
    </w:p>
    <w:p>
      <w:r>
        <w:br w:type="page"/>
      </w:r>
    </w:p>
    <w:p>
      <w:pPr>
        <w:spacing w:after="160" w:before="40" w:line="276" w:lineRule="auto"/>
      </w:pPr>
      <w:r>
        <w:rPr>
          <w:b/>
          <w:bCs/>
          <w:color w:val="1F3864"/>
          <w:sz w:val="26"/>
          <w:szCs w:val="26"/>
        </w:rPr>
        <w:t xml:space="preserve">Tabla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Identificación del trabajo</w:t>
      </w:r>
    </w:p>
    <w:p>
      <w:pPr>
        <w:spacing w:after="120" w:before="40" w:line="276" w:lineRule="auto"/>
      </w:pPr>
      <w:r>
        <w:t xml:space="preserve">Esta plantilla se llena por equipo y sobre la empresa que el equipo tiene asignada en el catálogo del Proyecto Final. El caso resuelto que la Guía del Estudiante desarrolla usa la Red Hospitalaria Metropolitana; cada equipo aplica el mismo método a su propia empresa.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536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536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9"/>
                <w:szCs w:val="19"/>
              </w:rPr>
              <w:t xml:space="preserve">Empresa del catálogo del Proyecto Final</w:t>
            </w:r>
          </w:p>
        </w:tc>
        <w:tc>
          <w:tcPr>
            <w:tcW w:type="dxa" w:w="653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9"/>
                <w:szCs w:val="19"/>
              </w:rPr>
              <w:t xml:space="preserve">Sector y tamaño declarados en el perfil</w:t>
            </w:r>
          </w:p>
        </w:tc>
        <w:tc>
          <w:tcPr>
            <w:tcW w:type="dxa" w:w="6536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9"/>
                <w:szCs w:val="19"/>
              </w:rPr>
              <w:t xml:space="preserve">Equipo (número y nombre)</w:t>
            </w:r>
          </w:p>
        </w:tc>
        <w:tc>
          <w:tcPr>
            <w:tcW w:type="dxa" w:w="653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9"/>
                <w:szCs w:val="19"/>
              </w:rPr>
              <w:t xml:space="preserve">Integrantes</w:t>
            </w:r>
          </w:p>
        </w:tc>
        <w:tc>
          <w:tcPr>
            <w:tcW w:type="dxa" w:w="6536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9"/>
                <w:szCs w:val="19"/>
              </w:rPr>
              <w:t xml:space="preserve">Analista responsable de esta plantilla</w:t>
            </w:r>
          </w:p>
        </w:tc>
        <w:tc>
          <w:tcPr>
            <w:tcW w:type="dxa" w:w="653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9"/>
                <w:szCs w:val="19"/>
              </w:rPr>
              <w:t xml:space="preserve">Fecha de elaboración</w:t>
            </w:r>
          </w:p>
        </w:tc>
        <w:tc>
          <w:tcPr>
            <w:tcW w:type="dxa" w:w="6536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9"/>
                <w:szCs w:val="19"/>
              </w:rPr>
              <w:t xml:space="preserve">Versión del documento</w:t>
            </w:r>
          </w:p>
        </w:tc>
        <w:tc>
          <w:tcPr>
            <w:tcW w:type="dxa" w:w="653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Cómo se llena</w:t>
      </w:r>
    </w:p>
    <w:p>
      <w:pPr>
        <w:spacing w:after="120" w:before="40" w:line="276" w:lineRule="auto"/>
      </w:pPr>
      <w:r>
        <w:t xml:space="preserve">El trabajo empieza por enumerar procesos, no sistemas. Un proceso de negocio se describe por lo que produce para alguien: la admisión de un paciente, la emisión de una factura, la entrega de un resultado de laboratorio. Lo que no entra en este inventario no se analiza, y lo que no se analiza no se protege.</w:t>
      </w:r>
    </w:p>
    <w:p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Proceso:</w:t>
      </w:r>
      <w:r>
        <w:t xml:space="preserve"> nombre en lenguaje de negocio, con un verbo y su objeto.</w:t>
      </w:r>
    </w:p>
    <w:p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Área responsable:</w:t>
      </w:r>
      <w:r>
        <w:t xml:space="preserve"> unidad organizativa que lo ejecuta.</w:t>
      </w:r>
    </w:p>
    <w:p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Dueño del proceso:</w:t>
      </w:r>
      <w:r>
        <w:t xml:space="preserve"> nombre y cargo de quien responde por él y firma la ficha BIA.</w:t>
      </w:r>
    </w:p>
    <w:p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Servicio que entrega:</w:t>
      </w:r>
      <w:r>
        <w:t xml:space="preserve"> el producto o servicio concreto que resulta del proceso.</w:t>
      </w:r>
    </w:p>
    <w:p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Destinatario:</w:t>
      </w:r>
      <w:r>
        <w:t xml:space="preserve"> quién lo recibe, sea un cliente externo o un área interna.</w:t>
      </w:r>
    </w:p>
    <w:p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Sistemas de soporte:</w:t>
      </w:r>
      <w:r>
        <w:t xml:space="preserve"> aplicaciones y plataformas sin las cuales el proceso no opera.</w:t>
      </w:r>
    </w:p>
    <w:p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Ventana de operación:</w:t>
      </w:r>
      <w:r>
        <w:t xml:space="preserve"> horario y días en que el proceso debe estar disponible.</w:t>
      </w:r>
    </w:p>
    <w:p>
      <w:pPr>
        <w:spacing w:after="120"/>
      </w:pPr>
    </w:p>
    <w:p>
      <w:pPr>
        <w:pStyle w:val="Heading1"/>
      </w:pPr>
      <w:r>
        <w:t xml:space="preserve">3. Inventario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1000"/>
        <w:gridCol w:w="1400"/>
        <w:gridCol w:w="1400"/>
        <w:gridCol w:w="1100"/>
        <w:gridCol w:w="1500"/>
        <w:gridCol w:w="1536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N.º</w:t>
            </w:r>
          </w:p>
        </w:tc>
        <w:tc>
          <w:tcPr>
            <w:tcW w:type="dxa" w:w="15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Proceso</w:t>
            </w:r>
          </w:p>
        </w:tc>
        <w:tc>
          <w:tcPr>
            <w:tcW w:type="dxa" w:w="10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Área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Dueño (nombre y cargo)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Servicio que entrega</w:t>
            </w:r>
          </w:p>
        </w:tc>
        <w:tc>
          <w:tcPr>
            <w:tcW w:type="dxa" w:w="11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Destinatario</w:t>
            </w:r>
          </w:p>
        </w:tc>
        <w:tc>
          <w:tcPr>
            <w:tcW w:type="dxa" w:w="15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Sistemas de soporte</w:t>
            </w:r>
          </w:p>
        </w:tc>
        <w:tc>
          <w:tcPr>
            <w:tcW w:type="dxa" w:w="1536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Ventana de operación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3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36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3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36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3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36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3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36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3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36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3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36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3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36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6"/>
                <w:szCs w:val="16"/>
              </w:rPr>
              <w:t xml:space="preserve"/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4. Alcance declarado y exclusiones</w:t>
      </w:r>
    </w:p>
    <w:p>
      <w:pPr>
        <w:spacing w:after="120" w:before="40" w:line="276" w:lineRule="auto"/>
      </w:pPr>
      <w:r>
        <w:t xml:space="preserve">Registrar qué procesos quedan fuera del análisis y por qué. Una exclusión declarada es una decisión; una exclusión silenciosa es un hallazgo de auditoría.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36"/>
      </w:tblGrid>
      <w:tr>
        <w:tc>
          <w:tcPr>
            <w:tcW w:type="dxa" w:w="9936"/>
            <w:tcBorders>
              <w:top w:val="single" w:color="2E5395" w:sz="14"/>
              <w:left w:val="single" w:color="CFDCEE" w:sz="4"/>
              <w:bottom w:val="single" w:color="CFDCEE" w:sz="4"/>
              <w:right w:val="single" w:color="CFDCEE" w:sz="4"/>
            </w:tcBorders>
            <w:shd w:fill="F2F7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90" w:before="40" w:line="276" w:lineRule="auto"/>
            </w:pPr>
            <w:r>
              <w:t xml:space="preserve"/>
            </w:r>
          </w:p>
          <w:p>
            <w:pPr>
              <w:spacing w:after="190" w:before="40" w:line="276" w:lineRule="auto"/>
            </w:pPr>
            <w:r>
              <w:t xml:space="preserve"/>
            </w:r>
          </w:p>
          <w:p>
            <w:pPr>
              <w:spacing w:after="190" w:before="40" w:line="276" w:lineRule="auto"/>
            </w:pPr>
            <w:r>
              <w:t xml:space="preserve"/>
            </w:r>
          </w:p>
          <w:p>
            <w:pPr>
              <w:spacing w:after="190" w:before="40" w:line="276" w:lineRule="auto"/>
            </w:pPr>
            <w:r>
              <w:t xml:space="preserve"/>
            </w:r>
          </w:p>
        </w:tc>
      </w:tr>
    </w:tbl>
    <w:p>
      <w:pPr>
        <w:pStyle w:val="Heading1"/>
      </w:pPr>
      <w:r>
        <w:t xml:space="preserve">5. Glosario de los campos de esta plantilla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36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7336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8"/>
                <w:szCs w:val="18"/>
              </w:rPr>
              <w:t xml:space="preserve">Proceso de negocio</w:t>
            </w:r>
          </w:p>
        </w:tc>
        <w:tc>
          <w:tcPr>
            <w:tcW w:type="dxa" w:w="733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8"/>
                <w:szCs w:val="18"/>
              </w:rPr>
              <w:t xml:space="preserve">Conjunto de actividades que produce un servicio o producto identificable para un destinatario.</w:t>
            </w:r>
          </w:p>
        </w:tc>
      </w:tr>
      <w:tr>
        <w:trPr>
          <w:cantSplit/>
        </w:trPr>
        <w:tc>
          <w:tcPr>
            <w:tcW w:type="dxa" w:w="26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8"/>
                <w:szCs w:val="18"/>
              </w:rPr>
              <w:t xml:space="preserve">Dueño del proceso</w:t>
            </w:r>
          </w:p>
        </w:tc>
        <w:tc>
          <w:tcPr>
            <w:tcW w:type="dxa" w:w="7336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8"/>
                <w:szCs w:val="18"/>
              </w:rPr>
              <w:t xml:space="preserve">Persona con autoridad para declarar las métricas de tiempo del proceso y responder por ellas.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8"/>
                <w:szCs w:val="18"/>
              </w:rPr>
              <w:t xml:space="preserve">Ventana de operación</w:t>
            </w:r>
          </w:p>
        </w:tc>
        <w:tc>
          <w:tcPr>
            <w:tcW w:type="dxa" w:w="733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8"/>
                <w:szCs w:val="18"/>
              </w:rPr>
              <w:t xml:space="preserve">Franja horaria y de calendario en que el proceso debe estar disponible para su destinatario.</w:t>
            </w:r>
          </w:p>
        </w:tc>
      </w:tr>
      <w:tr>
        <w:trPr>
          <w:cantSplit/>
        </w:trPr>
        <w:tc>
          <w:tcPr>
            <w:tcW w:type="dxa" w:w="26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8"/>
                <w:szCs w:val="18"/>
              </w:rPr>
              <w:t xml:space="preserve">Sistema de soporte</w:t>
            </w:r>
          </w:p>
        </w:tc>
        <w:tc>
          <w:tcPr>
            <w:tcW w:type="dxa" w:w="7336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8"/>
                <w:szCs w:val="18"/>
              </w:rPr>
              <w:t xml:space="preserve">Aplicación, plataforma o servicio tecnológico sin el cual el proceso no puede ejecutarse en su forma normal.</w:t>
            </w:r>
          </w:p>
        </w:tc>
      </w:tr>
    </w:tbl>
    <w:sectPr>
      <w:footerReference w:type="default" r:id="rId7"/>
      <w:pgSz w:w="12240" w:h="15840" w:orient="portrait"/>
      <w:pgMar w:top="1000" w:right="1152" w:bottom="1050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2"/>
      </w:pBdr>
      <w:spacing w:before="60"/>
      <w:jc w:val="center"/>
    </w:pPr>
    <w:r>
      <w:rPr>
        <w:color w:val="595959"/>
        <w:sz w:val="16"/>
        <w:szCs w:val="16"/>
      </w:rPr>
      <w:t xml:space="preserve">ESEN – Ciberseguridad · Asignación BIA (Semana 2, v6, 2026) · HectorCuchilla@Protonmail.com   ·   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  <w:rPr>
        <w:color w:val="2E5395"/>
      </w:rPr>
    </w:lvl>
    <w:lvl w:ilvl="1" w15:tentative="1">
      <w:start w:val="1"/>
      <w:numFmt w:val="bullet"/>
      <w:lvlText w:val="–"/>
      <w:lvlJc w:val="left"/>
      <w:pPr>
        <w:ind w:left="7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0" w:hanging="27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0" w:hanging="27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0" w:hanging="27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0" w:hanging="27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0" w:hanging="27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0" w:hanging="27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0" w:hanging="27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0" w:hanging="27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0" w:hanging="27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0" w:hanging="27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0" w:hanging="27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0" w:hanging="27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2E5395" w:sz="8" w:space="2"/>
      </w:pBdr>
      <w:spacing w:after="150" w:before="32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Calibri" w:cs="Calibri" w:eastAsia="Calibri" w:hAnsi="Calibri"/>
      <w:b/>
      <w:bCs/>
      <w:color w:val="2E5395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80" w:before="17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a6c20397667e412b00d78d7702cd5f80d0c093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2026-09-26T23:15:13.861Z</dcterms:created>
  <dcterms:modified xsi:type="dcterms:W3CDTF">2026-09-26T23:15:13.863Z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