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2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Calibri" w:cs="Calibri" w:eastAsia="Calibri" w:hAnsi="Calibri"/>
          <w:b/>
          <w:bCs/>
          <w:color w:val="1F3864"/>
          <w:sz w:val="46"/>
          <w:szCs w:val="46"/>
        </w:rPr>
        <w:t xml:space="preserve">C I B E R S E G U R I D A D</w:t>
      </w:r>
    </w:p>
    <w:p>
      <w:pPr>
        <w:spacing w:after="60"/>
        <w:jc w:val="center"/>
      </w:pPr>
      <w:r>
        <w:rPr>
          <w:b/>
          <w:bCs/>
          <w:color w:val="2E5395"/>
          <w:sz w:val="34"/>
          <w:szCs w:val="34"/>
        </w:rPr>
        <w:t xml:space="preserve">Ficha BIA por proceso</w:t>
      </w:r>
    </w:p>
    <w:p>
      <w:pPr>
        <w:spacing w:after="240"/>
        <w:jc w:val="center"/>
      </w:pPr>
      <w:r>
        <w:rPr>
          <w:color w:val="262626"/>
          <w:sz w:val="24"/>
          <w:szCs w:val="24"/>
        </w:rPr>
        <w:t xml:space="preserve">Métricas de tiempo, costo de indisponibilidad y valoración</w:t>
      </w:r>
    </w:p>
    <w:p>
      <w:pPr>
        <w:spacing w:after="120" w:before="40" w:line="276" w:lineRule="auto"/>
        <w:jc w:val="center"/>
      </w:pPr>
      <w:r>
        <w:rPr>
          <w:color w:val="595959"/>
          <w:sz w:val="20"/>
          <w:szCs w:val="20"/>
        </w:rPr>
        <w:t xml:space="preserve">Análisis de Impacto en el Negocio · Plantilla 02 de 07</w:t>
      </w:r>
    </w:p>
    <w:p>
      <w:pPr>
        <w:spacing w:after="120" w:before="40" w:line="276" w:lineRule="auto"/>
        <w:jc w:val="center"/>
      </w:pPr>
      <w:r>
        <w:rPr>
          <w:color w:val="595959"/>
          <w:sz w:val="19"/>
          <w:szCs w:val="19"/>
        </w:rPr>
        <w:t xml:space="preserve">ISO 22301:2019 · ISO/TS 22317:2021 · NIST SP 800-34 Rev. 1</w:t>
      </w:r>
    </w:p>
    <w:p>
      <w:pPr>
        <w:spacing w:after="16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Identificación del trabajo</w:t>
      </w:r>
    </w:p>
    <w:p>
      <w:pPr>
        <w:spacing w:after="120" w:before="40" w:line="276" w:lineRule="auto"/>
      </w:pPr>
      <w:r>
        <w:t xml:space="preserve">Esta plantilla se llena por equipo y sobre la empresa que el equipo tiene asignada en el catálogo del Proyecto Final. El caso resuelto que la Guía del Estudiante desarrolla usa la Red Hospitalaria Metropolitana; cada equipo aplica el mismo método a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Empresa del catálogo del Proyecto Final</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Sector y tamaño declarados en el perfil</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Equipo (número y nombre)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Analista responsable de esta plantilla</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elaboración</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2. Método de levantamiento empleado</w:t>
      </w:r>
    </w:p>
    <w:p>
      <w:pPr>
        <w:spacing w:after="120" w:before="40" w:line="276" w:lineRule="auto"/>
      </w:pPr>
      <w:r>
        <w:t xml:space="preserve">Los datos del análisis de impacto viven en quien opera el proceso, y el analista los extrae con un método declarado. Marcar los medios utilizados y registrar la validación, porque una ficha sin validación del dueño del proceso carece de valor probatorio.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900"/>
        <w:gridCol w:w="19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Medio de levantamiento</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Empleado (Sí/No)</w:t>
            </w:r>
          </w:p>
        </w:tc>
        <w:tc>
          <w:tcPr>
            <w:tcW w:type="dxa" w:w="2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Participantes</w:t>
            </w:r>
          </w:p>
        </w:tc>
        <w:tc>
          <w:tcPr>
            <w:tcW w:type="dxa" w:w="19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Fecha</w:t>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Entrevista estructurada con el dueño del proceso</w:t>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Cuestionario estandarizado</w:t>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Taller con áreas interdependientes</w:t>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Revisión documental de registros y contratos</w:t>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Validación firmada por el dueño del proceso</w:t>
            </w:r>
          </w:p>
        </w:tc>
        <w:tc>
          <w:tcPr>
            <w:tcW w:type="dxa" w:w="15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Aprobación de la dirección</w:t>
            </w:r>
          </w:p>
        </w:tc>
        <w:tc>
          <w:tcPr>
            <w:tcW w:type="dxa" w:w="15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9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3. Identificación del proceso analizado</w:t>
      </w:r>
    </w:p>
    <w:p>
      <w:pPr>
        <w:spacing w:after="120" w:before="40" w:line="276" w:lineRule="auto"/>
      </w:pPr>
      <w:r>
        <w:t xml:space="preserve">Se llena una ficha completa por cada proceso que resulta crítico en la precalificación de BIA_P05 (corte de 24 horas); el proceso importante que trata los datos personales que cuantifica la ficha de datos del cliente llena además las secciones 3, 8 y 9. Toda cifra que no proviene de la ficha de datos del cliente es un supuesto declarado, con su identificador global S-nn, hasta que el dueño del proceso la valida con su firma.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Proceso analizado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Código del proceso (del inventario)</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Área responsable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Dueño del proceso (nombre y cargo)</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Servicio que entrega y destinatario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Sistemas de soporte</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Ventana de operación</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4. Métricas de tiempo</w:t>
      </w:r>
    </w:p>
    <w:p>
      <w:pPr>
        <w:spacing w:after="120" w:before="40" w:line="276" w:lineRule="auto"/>
      </w:pPr>
      <w:r>
        <w:t xml:space="preserve">El período máximo tolerable de interrupción lo fija el negocio, nunca el área de tecnología, y todas las demás métricas se acomodan por debajo de él. El objetivo de tiempo de recuperación y el objetivo de punto de recuperación se determinan por separado: uno gobierna la capacidad de restauración y el otro la frecuencia del respaldo.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9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Métrica</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Valor declarado</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Unidad</w:t>
            </w:r>
          </w:p>
        </w:tc>
        <w:tc>
          <w:tcPr>
            <w:tcW w:type="dxa" w:w="39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Quién lo declara y con qué fundamento</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MTPD / MTD — período máximo tolerable de interrupción</w:t>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RTO — objetivo de tiempo de recuperación</w:t>
            </w:r>
          </w:p>
        </w:tc>
        <w:tc>
          <w:tcPr>
            <w:tcW w:type="dxa" w:w="2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WRT — tiempo de recuperación del trabajo</w:t>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RPO — objetivo de punto de recuperación</w:t>
            </w:r>
          </w:p>
        </w:tc>
        <w:tc>
          <w:tcPr>
            <w:tcW w:type="dxa" w:w="2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MBCO — objetivo mínimo de continuidad del negocio</w:t>
            </w:r>
          </w:p>
        </w:tc>
        <w:tc>
          <w:tcPr>
            <w:tcW w:type="dxa" w:w="2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00" w:before="40" w:line="276" w:lineRule="auto"/>
            </w:pPr>
            <w:r>
              <w:rPr>
                <w:b/>
                <w:bCs/>
                <w:color w:val="1F3864"/>
                <w:sz w:val="22"/>
                <w:szCs w:val="22"/>
              </w:rPr>
              <w:t xml:space="preserve">Comprobación de coherencia obligatoria:</w:t>
            </w:r>
            <w:r>
              <w:rPr>
                <w:color w:val="1F3864"/>
                <w:sz w:val="22"/>
                <w:szCs w:val="22"/>
              </w:rPr>
              <w:t xml:space="preserve"> RTO + WRT ≤ MTPD</w:t>
            </w:r>
          </w:p>
          <w:p>
            <w:pPr>
              <w:spacing w:after="80" w:before="40" w:line="276" w:lineRule="auto"/>
            </w:pPr>
            <w:r>
              <w:t xml:space="preserve">RTO declarado: ________   +   WRT declarado: ________   =   ________   ≤   MTPD declarado: ________</w:t>
            </w:r>
          </w:p>
          <w:p>
            <w:pPr>
              <w:spacing w:after="80" w:before="40" w:line="276" w:lineRule="auto"/>
            </w:pPr>
            <w:r>
              <w:t xml:space="preserve">Resultado de la comprobación (Cumple / No cumple): ________________________________</w:t>
            </w:r>
          </w:p>
          <w:p>
            <w:pPr>
              <w:spacing w:after="0" w:before="40" w:line="276" w:lineRule="auto"/>
            </w:pPr>
            <w:r>
              <w:rPr>
                <w:color w:val="595959"/>
                <w:sz w:val="19"/>
                <w:szCs w:val="19"/>
              </w:rPr>
              <w:t xml:space="preserve">Si la comprobación no se cumple, la ficha no avanza: se corrige el RTO, se corrige el WRT o se justifica ante la dirección un MTPD mayor.</w:t>
            </w:r>
          </w:p>
        </w:tc>
      </w:tr>
    </w:tbl>
    <w:p>
      <w:pPr>
        <w:pStyle w:val="Heading1"/>
      </w:pPr>
      <w:r>
        <w:t xml:space="preserve">5. Nivel mínimo de servicio durante la contingencia (MBCO)</w:t>
      </w:r>
    </w:p>
    <w:p>
      <w:pPr>
        <w:spacing w:after="120" w:before="40" w:line="276" w:lineRule="auto"/>
      </w:pPr>
      <w:r>
        <w:t xml:space="preserve">El objetivo mínimo de continuidad declara qué parte del proceso vuelve primero y con qué capacidad, mientras la recuperación completa avanza. Describir la operación reducida en términos verificables: qué se atiende, con qué volumen y con qué personal.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tc>
      </w:tr>
    </w:tbl>
    <w:p>
      <w:pPr>
        <w:pStyle w:val="Heading1"/>
      </w:pPr>
      <w:r>
        <w:t xml:space="preserve">6. Períodos pico y estacionalidad</w:t>
      </w:r>
    </w:p>
    <w:p>
      <w:pPr>
        <w:spacing w:after="120" w:before="40" w:line="276" w:lineRule="auto"/>
      </w:pPr>
      <w:r>
        <w:t xml:space="preserve">El mismo proceso interrumpido produce daños distintos según el momento del año. La planificación de continuidad se dimensiona para el peor escenario temporal, no para el promedio.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2336"/>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Período pico</w:t>
            </w:r>
          </w:p>
        </w:tc>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Fechas o condiciones</w:t>
            </w:r>
          </w:p>
        </w:tc>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Factor de agravamiento respecto del promedio</w:t>
            </w:r>
          </w:p>
        </w:tc>
        <w:tc>
          <w:tcPr>
            <w:tcW w:type="dxa" w:w="2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 temporal usado en la valoración</w:t>
            </w:r>
          </w:p>
        </w:tc>
      </w:tr>
      <w:tr>
        <w:trPr>
          <w:cantSplit/>
        </w:trPr>
        <w:tc>
          <w:tcPr>
            <w:tcW w:type="dxa" w:w="2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7. Procedimiento alterno y duración máxima sostenible</w:t>
      </w:r>
    </w:p>
    <w:p>
      <w:pPr>
        <w:spacing w:after="120" w:before="40" w:line="276" w:lineRule="auto"/>
      </w:pPr>
      <w:r>
        <w:t xml:space="preserve">La duración máxima sostenible es el dato que suele faltar: cuántas horas o días puede la organización operar en modo alterno antes de que el volumen acumulado desborde al personal, la calidad se degrade o la reconstrucción posterior se vuelva impracticable. Esa duración es la que alarga el MTPD del proceso, y por eso se declara y se verifica.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00"/>
        <w:gridCol w:w="6036"/>
      </w:tblGrid>
      <w:tr>
        <w:trPr>
          <w:tblHeader/>
        </w:trPr>
        <w:tc>
          <w:tcPr>
            <w:tcW w:type="dxa" w:w="3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0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900"/>
            <w:tcMar>
              <w:top w:type="dxa" w:w="70"/>
              <w:left w:type="dxa" w:w="110"/>
              <w:bottom w:type="dxa" w:w="70"/>
              <w:right w:type="dxa" w:w="110"/>
            </w:tcMar>
            <w:vAlign w:val="center"/>
          </w:tcPr>
          <w:p>
            <w:pPr>
              <w:spacing w:after="0" w:before="0" w:line="276" w:lineRule="auto"/>
            </w:pPr>
            <w:r>
              <w:rPr>
                <w:sz w:val="18"/>
                <w:szCs w:val="18"/>
              </w:rPr>
              <w:t xml:space="preserve">Descripción del procedimiento alterno</w:t>
            </w:r>
          </w:p>
        </w:tc>
        <w:tc>
          <w:tcPr>
            <w:tcW w:type="dxa" w:w="60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900"/>
            <w:shd w:fill="F2F7FB" w:val="clear"/>
            <w:tcMar>
              <w:top w:type="dxa" w:w="70"/>
              <w:left w:type="dxa" w:w="110"/>
              <w:bottom w:type="dxa" w:w="70"/>
              <w:right w:type="dxa" w:w="110"/>
            </w:tcMar>
            <w:vAlign w:val="center"/>
          </w:tcPr>
          <w:p>
            <w:pPr>
              <w:spacing w:after="0" w:before="0" w:line="276" w:lineRule="auto"/>
            </w:pPr>
            <w:r>
              <w:rPr>
                <w:sz w:val="18"/>
                <w:szCs w:val="18"/>
              </w:rPr>
              <w:t xml:space="preserve">Quién lo ejecuta</w:t>
            </w:r>
          </w:p>
        </w:tc>
        <w:tc>
          <w:tcPr>
            <w:tcW w:type="dxa" w:w="60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900"/>
            <w:tcMar>
              <w:top w:type="dxa" w:w="70"/>
              <w:left w:type="dxa" w:w="110"/>
              <w:bottom w:type="dxa" w:w="70"/>
              <w:right w:type="dxa" w:w="110"/>
            </w:tcMar>
            <w:vAlign w:val="center"/>
          </w:tcPr>
          <w:p>
            <w:pPr>
              <w:spacing w:after="0" w:before="0" w:line="276" w:lineRule="auto"/>
            </w:pPr>
            <w:r>
              <w:rPr>
                <w:sz w:val="18"/>
                <w:szCs w:val="18"/>
              </w:rPr>
              <w:t xml:space="preserve">Recursos que exige (personas, formularios, equipos)</w:t>
            </w:r>
          </w:p>
        </w:tc>
        <w:tc>
          <w:tcPr>
            <w:tcW w:type="dxa" w:w="60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900"/>
            <w:shd w:fill="F2F7FB" w:val="clear"/>
            <w:tcMar>
              <w:top w:type="dxa" w:w="70"/>
              <w:left w:type="dxa" w:w="110"/>
              <w:bottom w:type="dxa" w:w="70"/>
              <w:right w:type="dxa" w:w="110"/>
            </w:tcMar>
            <w:vAlign w:val="center"/>
          </w:tcPr>
          <w:p>
            <w:pPr>
              <w:spacing w:after="0" w:before="0" w:line="276" w:lineRule="auto"/>
            </w:pPr>
            <w:r>
              <w:rPr>
                <w:sz w:val="18"/>
                <w:szCs w:val="18"/>
              </w:rPr>
              <w:t xml:space="preserve">Duración máxima sostenible</w:t>
            </w:r>
          </w:p>
        </w:tc>
        <w:tc>
          <w:tcPr>
            <w:tcW w:type="dxa" w:w="60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900"/>
            <w:tcMar>
              <w:top w:type="dxa" w:w="70"/>
              <w:left w:type="dxa" w:w="110"/>
              <w:bottom w:type="dxa" w:w="70"/>
              <w:right w:type="dxa" w:w="110"/>
            </w:tcMar>
            <w:vAlign w:val="center"/>
          </w:tcPr>
          <w:p>
            <w:pPr>
              <w:spacing w:after="0" w:before="0" w:line="276" w:lineRule="auto"/>
            </w:pPr>
            <w:r>
              <w:rPr>
                <w:sz w:val="18"/>
                <w:szCs w:val="18"/>
              </w:rPr>
              <w:t xml:space="preserve">Cómo se verificó esa duración</w:t>
            </w:r>
          </w:p>
        </w:tc>
        <w:tc>
          <w:tcPr>
            <w:tcW w:type="dxa" w:w="60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900"/>
            <w:shd w:fill="F2F7FB" w:val="clear"/>
            <w:tcMar>
              <w:top w:type="dxa" w:w="70"/>
              <w:left w:type="dxa" w:w="110"/>
              <w:bottom w:type="dxa" w:w="70"/>
              <w:right w:type="dxa" w:w="110"/>
            </w:tcMar>
            <w:vAlign w:val="center"/>
          </w:tcPr>
          <w:p>
            <w:pPr>
              <w:spacing w:after="0" w:before="0" w:line="276" w:lineRule="auto"/>
            </w:pPr>
            <w:r>
              <w:rPr>
                <w:sz w:val="18"/>
                <w:szCs w:val="18"/>
              </w:rPr>
              <w:t xml:space="preserve">Esfuerzo de reconstrucción posterior (alimenta el WRT)</w:t>
            </w:r>
          </w:p>
        </w:tc>
        <w:tc>
          <w:tcPr>
            <w:tcW w:type="dxa" w:w="60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pPr>
    </w:p>
    <w:p>
      <w:pPr>
        <w:pStyle w:val="Heading1"/>
      </w:pPr>
      <w:r>
        <w:t xml:space="preserve">8. Costo de indisponibilidad por hora y por día</w:t>
      </w:r>
    </w:p>
    <w:p>
      <w:pPr>
        <w:spacing w:after="120" w:before="40" w:line="276" w:lineRule="auto"/>
      </w:pPr>
      <w:r>
        <w:t xml:space="preserve">Es la métrica más característica del análisis de impacto. Se construye sumando, por cada hora de interrupción, los ingresos que dejan de percibirse, el costo del personal improductivo o en horas extra, las penalizaciones contractuales que se activan y el costo de las medidas alternas. Cuando la dirección pregunta qué se gana con la inversión en continuidad, esta es la cifra que responde.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536"/>
      </w:tblGrid>
      <w:tr>
        <w:trPr>
          <w:tblHeader/>
        </w:trPr>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Componente del costo</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hora</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día</w:t>
            </w:r>
          </w:p>
        </w:tc>
        <w:tc>
          <w:tcPr>
            <w:tcW w:type="dxa" w:w="3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 declarado y su origen</w:t>
            </w:r>
          </w:p>
        </w:tc>
      </w:tr>
      <w:tr>
        <w:trPr>
          <w:cantSplit/>
        </w:trPr>
        <w:tc>
          <w:tcPr>
            <w:tcW w:type="dxa" w:w="3000"/>
            <w:tcMar>
              <w:top w:type="dxa" w:w="70"/>
              <w:left w:type="dxa" w:w="110"/>
              <w:bottom w:type="dxa" w:w="70"/>
              <w:right w:type="dxa" w:w="110"/>
            </w:tcMar>
            <w:vAlign w:val="center"/>
          </w:tcPr>
          <w:p>
            <w:pPr>
              <w:spacing w:after="0" w:before="0" w:line="276" w:lineRule="auto"/>
            </w:pPr>
            <w:r>
              <w:rPr>
                <w:sz w:val="18"/>
                <w:szCs w:val="18"/>
              </w:rPr>
              <w:t xml:space="preserve">Ingresos que dejan de percibirse</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Personal improductivo u horas extra</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tcMar>
              <w:top w:type="dxa" w:w="70"/>
              <w:left w:type="dxa" w:w="110"/>
              <w:bottom w:type="dxa" w:w="70"/>
              <w:right w:type="dxa" w:w="110"/>
            </w:tcMar>
            <w:vAlign w:val="center"/>
          </w:tcPr>
          <w:p>
            <w:pPr>
              <w:spacing w:after="0" w:before="0" w:line="276" w:lineRule="auto"/>
            </w:pPr>
            <w:r>
              <w:rPr>
                <w:sz w:val="18"/>
                <w:szCs w:val="18"/>
              </w:rPr>
              <w:t xml:space="preserve">Penalizaciones contractuales activadas</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shd w:fill="F2F7FB" w:val="clear"/>
            <w:tcMar>
              <w:top w:type="dxa" w:w="70"/>
              <w:left w:type="dxa" w:w="110"/>
              <w:bottom w:type="dxa" w:w="70"/>
              <w:right w:type="dxa" w:w="110"/>
            </w:tcMar>
            <w:vAlign w:val="center"/>
          </w:tcPr>
          <w:p>
            <w:pPr>
              <w:spacing w:after="0" w:before="0" w:line="276" w:lineRule="auto"/>
            </w:pPr>
            <w:r>
              <w:rPr>
                <w:sz w:val="18"/>
                <w:szCs w:val="18"/>
              </w:rPr>
              <w:t xml:space="preserve">Costo del procedimiento alterno</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tcMar>
              <w:top w:type="dxa" w:w="70"/>
              <w:left w:type="dxa" w:w="110"/>
              <w:bottom w:type="dxa" w:w="70"/>
              <w:right w:type="dxa" w:w="110"/>
            </w:tcMar>
            <w:vAlign w:val="center"/>
          </w:tcPr>
          <w:p>
            <w:pPr>
              <w:spacing w:after="0" w:before="0" w:line="276" w:lineRule="auto"/>
            </w:pPr>
            <w:r>
              <w:rPr>
                <w:sz w:val="18"/>
                <w:szCs w:val="18"/>
              </w:rPr>
              <w:t xml:space="preserve">Otros costos directos</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000"/>
            <w:shd w:fill="F2F7FB" w:val="clear"/>
            <w:tcMar>
              <w:top w:type="dxa" w:w="70"/>
              <w:left w:type="dxa" w:w="110"/>
              <w:bottom w:type="dxa" w:w="70"/>
              <w:right w:type="dxa" w:w="110"/>
            </w:tcMar>
            <w:vAlign w:val="center"/>
          </w:tcPr>
          <w:p>
            <w:pPr>
              <w:spacing w:after="0" w:before="0" w:line="276" w:lineRule="auto"/>
            </w:pPr>
            <w:r>
              <w:rPr>
                <w:b/>
                <w:bCs/>
                <w:sz w:val="18"/>
                <w:szCs w:val="18"/>
              </w:rPr>
              <w:t xml:space="preserve">Total</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pStyle w:val="Heading1"/>
      </w:pPr>
      <w:r>
        <w:t xml:space="preserve">9. Valoración económica que el BIA entrega</w:t>
      </w:r>
    </w:p>
    <w:p>
      <w:pPr>
        <w:spacing w:after="120" w:before="40" w:line="276" w:lineRule="auto"/>
      </w:pPr>
      <w:r>
        <w:t xml:space="preserve">El valor del activo es el valor económico total del proceso analizado e incluye el costo de reposición, el valor de la información que contiene y el flujo que genera. El factor de exposición es la proporción de ese valor que se pierde cuando el evento adverso ocurre, expresada entre cero y uno. La pérdida esperada por evento único es el producto de ambos.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5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Variable</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Valor</w:t>
            </w:r>
          </w:p>
        </w:tc>
        <w:tc>
          <w:tcPr>
            <w:tcW w:type="dxa" w:w="5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Cómo se estimó y con qué fuente</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AV — valor del activo o del proceso</w:t>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EF — factor de exposición (entre 0 y 1)</w:t>
            </w:r>
          </w:p>
        </w:tc>
        <w:tc>
          <w:tcPr>
            <w:tcW w:type="dxa" w:w="1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SLE — pérdida esperada por evento único (SLE = AV × EF)</w:t>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120" w:line="276" w:lineRule="auto"/>
      </w:pPr>
      <w:r>
        <w:rPr>
          <w:b/>
          <w:bCs/>
        </w:rPr>
        <w:t xml:space="preserve">Proceso con los datos personales que cuantifica la ficha.</w:t>
      </w:r>
      <w:r>
        <w:t xml:space="preserve"> Cuando el proceso trata los titulares que la ficha de datos del cliente cuenta en el bloque «Economía», se calcula además el SLE de exposición de datos, también si el proceso resulta importante: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936"/>
      </w:tblGrid>
      <w:tr>
        <w:trPr>
          <w:tblHeader/>
        </w:trPr>
        <w:tc>
          <w:tcPr>
            <w:tcW w:type="dxa" w:w="4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Variable</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Valor</w:t>
            </w:r>
          </w:p>
        </w:tc>
        <w:tc>
          <w:tcPr>
            <w:tcW w:type="dxa" w:w="39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Fuente</w:t>
            </w:r>
          </w:p>
        </w:tc>
      </w:tr>
      <w:tr>
        <w:trPr>
          <w:cantSplit/>
        </w:trPr>
        <w:tc>
          <w:tcPr>
            <w:tcW w:type="dxa" w:w="4200"/>
            <w:tcMar>
              <w:top w:type="dxa" w:w="70"/>
              <w:left w:type="dxa" w:w="110"/>
              <w:bottom w:type="dxa" w:w="70"/>
              <w:right w:type="dxa" w:w="110"/>
            </w:tcMar>
            <w:vAlign w:val="center"/>
          </w:tcPr>
          <w:p>
            <w:pPr>
              <w:spacing w:after="0" w:before="0" w:line="276" w:lineRule="auto"/>
            </w:pPr>
            <w:r>
              <w:rPr>
                <w:sz w:val="18"/>
                <w:szCs w:val="18"/>
              </w:rPr>
              <w:t xml:space="preserve">Titulares de datos personales que trata el proceso</w:t>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Ficha de datos del cliente, bloque «Economía»</w:t>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Costo de notificar a un titular (USD)</w:t>
            </w:r>
          </w:p>
        </w:tc>
        <w:tc>
          <w:tcPr>
            <w:tcW w:type="dxa" w:w="1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shd w:fill="F2F7FB" w:val="clear"/>
            <w:tcMar>
              <w:top w:type="dxa" w:w="70"/>
              <w:left w:type="dxa" w:w="110"/>
              <w:bottom w:type="dxa" w:w="70"/>
              <w:right w:type="dxa" w:w="110"/>
            </w:tcMar>
            <w:vAlign w:val="center"/>
          </w:tcPr>
          <w:p>
            <w:pPr>
              <w:spacing w:after="0" w:before="0" w:line="276" w:lineRule="auto"/>
            </w:pPr>
            <w:r>
              <w:rPr>
                <w:sz w:val="18"/>
                <w:szCs w:val="18"/>
              </w:rPr>
              <w:t xml:space="preserve">Ficha de datos del cliente, bloque «Economía»</w:t>
            </w:r>
          </w:p>
        </w:tc>
      </w:tr>
      <w:tr>
        <w:trPr>
          <w:cantSplit/>
        </w:trPr>
        <w:tc>
          <w:tcPr>
            <w:tcW w:type="dxa" w:w="4200"/>
            <w:tcMar>
              <w:top w:type="dxa" w:w="70"/>
              <w:left w:type="dxa" w:w="110"/>
              <w:bottom w:type="dxa" w:w="70"/>
              <w:right w:type="dxa" w:w="110"/>
            </w:tcMar>
            <w:vAlign w:val="center"/>
          </w:tcPr>
          <w:p>
            <w:pPr>
              <w:spacing w:after="0" w:before="0" w:line="276" w:lineRule="auto"/>
            </w:pPr>
            <w:r>
              <w:rPr>
                <w:sz w:val="18"/>
                <w:szCs w:val="18"/>
              </w:rPr>
              <w:t xml:space="preserve">Otros costos por titular que la ficha cuantifica (USD)</w:t>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Ficha de datos del cliente</w:t>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AV de exposición = titulares × (costo de notificar + otros costos por titular)</w:t>
            </w:r>
          </w:p>
        </w:tc>
        <w:tc>
          <w:tcPr>
            <w:tcW w:type="dxa" w:w="1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200"/>
            <w:tcMar>
              <w:top w:type="dxa" w:w="70"/>
              <w:left w:type="dxa" w:w="110"/>
              <w:bottom w:type="dxa" w:w="70"/>
              <w:right w:type="dxa" w:w="110"/>
            </w:tcMar>
            <w:vAlign w:val="center"/>
          </w:tcPr>
          <w:p>
            <w:pPr>
              <w:spacing w:after="0" w:before="0" w:line="276" w:lineRule="auto"/>
            </w:pPr>
            <w:r>
              <w:rPr>
                <w:sz w:val="18"/>
                <w:szCs w:val="18"/>
              </w:rPr>
              <w:t xml:space="preserve">EF = proporción de titulares expuestos en el escenario (entre 0 y 1)</w:t>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tcMar>
              <w:top w:type="dxa" w:w="70"/>
              <w:left w:type="dxa" w:w="110"/>
              <w:bottom w:type="dxa" w:w="70"/>
              <w:right w:type="dxa" w:w="110"/>
            </w:tcMar>
            <w:vAlign w:val="center"/>
          </w:tcPr>
          <w:p>
            <w:pPr>
              <w:spacing w:after="0" w:before="0" w:line="276" w:lineRule="auto"/>
            </w:pPr>
            <w:r>
              <w:rPr>
                <w:sz w:val="18"/>
                <w:szCs w:val="18"/>
              </w:rPr>
              <w:t xml:space="preserve">Escenario declarado</w:t>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8"/>
                <w:szCs w:val="18"/>
              </w:rPr>
              <w:t xml:space="preserve">SLE de exposición = AV × EF</w:t>
            </w:r>
          </w:p>
        </w:tc>
        <w:tc>
          <w:tcPr>
            <w:tcW w:type="dxa" w:w="1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9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120" w:line="276" w:lineRule="auto"/>
      </w:pPr>
      <w:r>
        <w:rPr>
          <w:b/>
          <w:bCs/>
        </w:rPr>
        <w:t xml:space="preserve">Escenarios del proceso.</w:t>
      </w:r>
      <w:r>
        <w:t xml:space="preserve"> Un mismo proceso admite una pérdida por evento único por escenario (cifrado o indisponibilidad, exposición de datos, fraude, sabotaje de la operación). Cada escenario lleva su identificador SLE-nn, que la tabla B.2 de E.03 consolida y la matriz de riesgos de E.05 cita: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800"/>
        <w:gridCol w:w="1000"/>
        <w:gridCol w:w="2436"/>
      </w:tblGrid>
      <w:tr>
        <w:trPr>
          <w:tblHeader/>
        </w:trPr>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SLE-nn</w:t>
            </w:r>
          </w:p>
        </w:tc>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AV (USD)</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EF</w:t>
            </w:r>
          </w:p>
        </w:tc>
        <w:tc>
          <w:tcPr>
            <w:tcW w:type="dxa" w:w="2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SLE = AV × EF (USD)</w:t>
            </w:r>
          </w:p>
        </w:tc>
      </w:tr>
      <w:tr>
        <w:trPr>
          <w:cantSplit/>
        </w:trPr>
        <w:tc>
          <w:tcPr>
            <w:tcW w:type="dxa" w:w="11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11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11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8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0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4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0" w:before="40" w:line="276" w:lineRule="auto"/>
            </w:pPr>
            <w:r>
              <w:rPr>
                <w:b/>
                <w:bCs/>
              </w:rPr>
              <w:t xml:space="preserve">Frontera del análisis.</w:t>
            </w:r>
            <w:r>
              <w:t xml:space="preserve"> Hasta aquí llega el BIA. La tasa anualizada de ocurrencia (ARO) y la pérdida anual esperada (ALE = SLE × ARO) pertenecen a la evaluación cuantitativa de riesgos, tal como la describe NIST SP 800-30 Rev. 1, porque ambas requieren estimar la probabilidad de la amenaza, y la probabilidad queda fuera del alcance del BIA. El BIA responde qué pasa si ocurre; el análisis de riesgos responde con qué frecuencia ocurrirá.</w:t>
            </w:r>
          </w:p>
        </w:tc>
      </w:tr>
    </w:tbl>
    <w:p>
      <w:pPr>
        <w:spacing w:after="140"/>
      </w:pPr>
    </w:p>
    <w:p>
      <w:pPr>
        <w:pStyle w:val="Heading1"/>
      </w:pPr>
      <w:r>
        <w:t xml:space="preserve">10. Método de valoración empleado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1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Método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Empleado</w:t>
            </w:r>
          </w:p>
        </w:tc>
        <w:tc>
          <w:tcPr>
            <w:tcW w:type="dxa" w:w="51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Justificación de la elección</w:t>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Cuantitativo — valores monetarios</w:t>
            </w:r>
          </w:p>
        </w:tc>
        <w:tc>
          <w:tcPr>
            <w:tcW w:type="dxa" w:w="1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1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8"/>
                <w:szCs w:val="18"/>
              </w:rPr>
              <w:t xml:space="preserve">Cualitativo — escalas verbales alto, medio, bajo</w:t>
            </w:r>
          </w:p>
        </w:tc>
        <w:tc>
          <w:tcPr>
            <w:tcW w:type="dxa" w:w="12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1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8"/>
                <w:szCs w:val="18"/>
              </w:rPr>
              <w:t xml:space="preserve">Semicuantitativo — valores numéricos sobre categorías cualitativas</w:t>
            </w:r>
          </w:p>
        </w:tc>
        <w:tc>
          <w:tcPr>
            <w:tcW w:type="dxa" w:w="12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5136"/>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rPr>
          <w:color w:val="595959"/>
          <w:sz w:val="19"/>
          <w:szCs w:val="19"/>
        </w:rPr>
        <w:t xml:space="preserve">El método semicuantitativo conserva la naturaleza ordinal de su origen: sus números ordenan y ponderan, y no admiten aritmética como si fueran dinero.</w:t>
      </w:r>
    </w:p>
    <w:p>
      <w:pPr>
        <w:spacing w:after="120" w:before="40" w:line="276" w:lineRule="auto"/>
      </w:pPr>
      <w:r>
        <w:t xml:space="preserve">El método se declara aquí, en la ficha de cada proceso; BIA_P06 registra solo los supuestos y límites del método, y la sección 3 de BIA_P07 lo resume.</w:t>
      </w:r>
    </w:p>
    <w:p>
      <w:pPr>
        <w:spacing w:after="120"/>
      </w:pPr>
    </w:p>
    <w:p>
      <w:pPr>
        <w:pStyle w:val="Heading1"/>
      </w:pPr>
      <w:r>
        <w:t xml:space="preserve">11. Validación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3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Rol</w:t>
            </w:r>
          </w:p>
        </w:tc>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Nombre y cargo</w:t>
            </w:r>
          </w:p>
        </w:tc>
        <w:tc>
          <w:tcPr>
            <w:tcW w:type="dxa" w:w="1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Fecha</w:t>
            </w:r>
          </w:p>
        </w:tc>
        <w:tc>
          <w:tcPr>
            <w:tcW w:type="dxa" w:w="2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Firma</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Analista que levanta la ficha</w:t>
            </w:r>
          </w:p>
        </w:tc>
        <w:tc>
          <w:tcPr>
            <w:tcW w:type="dxa" w:w="3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Dueño del proceso que valida</w:t>
            </w:r>
          </w:p>
        </w:tc>
        <w:tc>
          <w:tcPr>
            <w:tcW w:type="dxa" w:w="34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Aprobación de la dirección</w:t>
            </w:r>
          </w:p>
        </w:tc>
        <w:tc>
          <w:tcPr>
            <w:tcW w:type="dxa" w:w="34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6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2336"/>
            <w:tcMar>
              <w:top w:type="dxa" w:w="70"/>
              <w:left w:type="dxa" w:w="110"/>
              <w:bottom w:type="dxa" w:w="70"/>
              <w:right w:type="dxa" w:w="110"/>
            </w:tcMar>
            <w:vAlign w:val="center"/>
          </w:tcPr>
          <w:p>
            <w:pPr>
              <w:spacing w:after="0" w:before="0" w:line="276" w:lineRule="auto"/>
            </w:pPr>
            <w:r>
              <w:rPr>
                <w:sz w:val="18"/>
                <w:szCs w:val="18"/>
              </w:rPr>
              <w:t xml:space="preserve"/>
            </w:r>
          </w:p>
        </w:tc>
      </w:tr>
    </w:tbl>
    <w:p>
      <w:pPr>
        <w:pStyle w:val="Heading1"/>
      </w:pPr>
      <w:r>
        <w:t xml:space="preserve">12. Glosario de los campos de esta plantilla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Término</w:t>
            </w:r>
          </w:p>
        </w:tc>
        <w:tc>
          <w:tcPr>
            <w:tcW w:type="dxa" w:w="7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Definición</w:t>
            </w:r>
          </w:p>
        </w:tc>
      </w:tr>
      <w:tr>
        <w:trPr>
          <w:cantSplit/>
        </w:trPr>
        <w:tc>
          <w:tcPr>
            <w:tcW w:type="dxa" w:w="2200"/>
            <w:tcMar>
              <w:top w:type="dxa" w:w="70"/>
              <w:left w:type="dxa" w:w="110"/>
              <w:bottom w:type="dxa" w:w="70"/>
              <w:right w:type="dxa" w:w="110"/>
            </w:tcMar>
            <w:vAlign w:val="center"/>
          </w:tcPr>
          <w:p>
            <w:pPr>
              <w:spacing w:after="0" w:before="0" w:line="276" w:lineRule="auto"/>
            </w:pPr>
            <w:r>
              <w:rPr>
                <w:sz w:val="18"/>
                <w:szCs w:val="18"/>
              </w:rPr>
              <w:t xml:space="preserve">MTPD / MTD</w:t>
            </w:r>
          </w:p>
        </w:tc>
        <w:tc>
          <w:tcPr>
            <w:tcW w:type="dxa" w:w="7736"/>
            <w:tcMar>
              <w:top w:type="dxa" w:w="70"/>
              <w:left w:type="dxa" w:w="110"/>
              <w:bottom w:type="dxa" w:w="70"/>
              <w:right w:type="dxa" w:w="110"/>
            </w:tcMar>
            <w:vAlign w:val="center"/>
          </w:tcPr>
          <w:p>
            <w:pPr>
              <w:spacing w:after="0" w:before="0" w:line="276" w:lineRule="auto"/>
            </w:pPr>
            <w:r>
              <w:rPr>
                <w:sz w:val="18"/>
                <w:szCs w:val="18"/>
              </w:rPr>
              <w:t xml:space="preserve">Período máximo tolerable de interrupción: tiempo tras el cual el daño ya no puede revertirse. Lo fija el negocio.</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RTO</w:t>
            </w:r>
          </w:p>
        </w:tc>
        <w:tc>
          <w:tcPr>
            <w:tcW w:type="dxa" w:w="7736"/>
            <w:shd w:fill="F2F7FB" w:val="clear"/>
            <w:tcMar>
              <w:top w:type="dxa" w:w="70"/>
              <w:left w:type="dxa" w:w="110"/>
              <w:bottom w:type="dxa" w:w="70"/>
              <w:right w:type="dxa" w:w="110"/>
            </w:tcMar>
            <w:vAlign w:val="center"/>
          </w:tcPr>
          <w:p>
            <w:pPr>
              <w:spacing w:after="0" w:before="0" w:line="276" w:lineRule="auto"/>
            </w:pPr>
            <w:r>
              <w:rPr>
                <w:sz w:val="18"/>
                <w:szCs w:val="18"/>
              </w:rPr>
              <w:t xml:space="preserve">Objetivo de tiempo de recuperación: plazo máximo para restaurar el proceso y sus sistemas de soporte.</w:t>
            </w:r>
          </w:p>
        </w:tc>
      </w:tr>
      <w:tr>
        <w:trPr>
          <w:cantSplit/>
        </w:trPr>
        <w:tc>
          <w:tcPr>
            <w:tcW w:type="dxa" w:w="2200"/>
            <w:tcMar>
              <w:top w:type="dxa" w:w="70"/>
              <w:left w:type="dxa" w:w="110"/>
              <w:bottom w:type="dxa" w:w="70"/>
              <w:right w:type="dxa" w:w="110"/>
            </w:tcMar>
            <w:vAlign w:val="center"/>
          </w:tcPr>
          <w:p>
            <w:pPr>
              <w:spacing w:after="0" w:before="0" w:line="276" w:lineRule="auto"/>
            </w:pPr>
            <w:r>
              <w:rPr>
                <w:sz w:val="18"/>
                <w:szCs w:val="18"/>
              </w:rPr>
              <w:t xml:space="preserve">WRT</w:t>
            </w:r>
          </w:p>
        </w:tc>
        <w:tc>
          <w:tcPr>
            <w:tcW w:type="dxa" w:w="7736"/>
            <w:tcMar>
              <w:top w:type="dxa" w:w="70"/>
              <w:left w:type="dxa" w:w="110"/>
              <w:bottom w:type="dxa" w:w="70"/>
              <w:right w:type="dxa" w:w="110"/>
            </w:tcMar>
            <w:vAlign w:val="center"/>
          </w:tcPr>
          <w:p>
            <w:pPr>
              <w:spacing w:after="0" w:before="0" w:line="276" w:lineRule="auto"/>
            </w:pPr>
            <w:r>
              <w:rPr>
                <w:sz w:val="18"/>
                <w:szCs w:val="18"/>
              </w:rPr>
              <w:t xml:space="preserve">Tiempo de recuperación del trabajo: plazo adicional para reconstruir los datos del período caído y validar su integridad.</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RPO</w:t>
            </w:r>
          </w:p>
        </w:tc>
        <w:tc>
          <w:tcPr>
            <w:tcW w:type="dxa" w:w="7736"/>
            <w:shd w:fill="F2F7FB" w:val="clear"/>
            <w:tcMar>
              <w:top w:type="dxa" w:w="70"/>
              <w:left w:type="dxa" w:w="110"/>
              <w:bottom w:type="dxa" w:w="70"/>
              <w:right w:type="dxa" w:w="110"/>
            </w:tcMar>
            <w:vAlign w:val="center"/>
          </w:tcPr>
          <w:p>
            <w:pPr>
              <w:spacing w:after="0" w:before="0" w:line="276" w:lineRule="auto"/>
            </w:pPr>
            <w:r>
              <w:rPr>
                <w:sz w:val="18"/>
                <w:szCs w:val="18"/>
              </w:rPr>
              <w:t xml:space="preserve">Objetivo de punto de recuperación: cantidad máxima de datos que se acepta perder, medida en tiempo.</w:t>
            </w:r>
          </w:p>
        </w:tc>
      </w:tr>
      <w:tr>
        <w:trPr>
          <w:cantSplit/>
        </w:trPr>
        <w:tc>
          <w:tcPr>
            <w:tcW w:type="dxa" w:w="2200"/>
            <w:tcMar>
              <w:top w:type="dxa" w:w="70"/>
              <w:left w:type="dxa" w:w="110"/>
              <w:bottom w:type="dxa" w:w="70"/>
              <w:right w:type="dxa" w:w="110"/>
            </w:tcMar>
            <w:vAlign w:val="center"/>
          </w:tcPr>
          <w:p>
            <w:pPr>
              <w:spacing w:after="0" w:before="0" w:line="276" w:lineRule="auto"/>
            </w:pPr>
            <w:r>
              <w:rPr>
                <w:sz w:val="18"/>
                <w:szCs w:val="18"/>
              </w:rPr>
              <w:t xml:space="preserve">MBCO</w:t>
            </w:r>
          </w:p>
        </w:tc>
        <w:tc>
          <w:tcPr>
            <w:tcW w:type="dxa" w:w="7736"/>
            <w:tcMar>
              <w:top w:type="dxa" w:w="70"/>
              <w:left w:type="dxa" w:w="110"/>
              <w:bottom w:type="dxa" w:w="70"/>
              <w:right w:type="dxa" w:w="110"/>
            </w:tcMar>
            <w:vAlign w:val="center"/>
          </w:tcPr>
          <w:p>
            <w:pPr>
              <w:spacing w:after="0" w:before="0" w:line="276" w:lineRule="auto"/>
            </w:pPr>
            <w:r>
              <w:rPr>
                <w:sz w:val="18"/>
                <w:szCs w:val="18"/>
              </w:rPr>
              <w:t xml:space="preserve">Objetivo mínimo de continuidad del negocio: nivel reducido de servicio sostenido durante la contingencia.</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8"/>
                <w:szCs w:val="18"/>
              </w:rPr>
              <w:t xml:space="preserve">AV, EF, SLE</w:t>
            </w:r>
          </w:p>
        </w:tc>
        <w:tc>
          <w:tcPr>
            <w:tcW w:type="dxa" w:w="7736"/>
            <w:shd w:fill="F2F7FB" w:val="clear"/>
            <w:tcMar>
              <w:top w:type="dxa" w:w="70"/>
              <w:left w:type="dxa" w:w="110"/>
              <w:bottom w:type="dxa" w:w="70"/>
              <w:right w:type="dxa" w:w="110"/>
            </w:tcMar>
            <w:vAlign w:val="center"/>
          </w:tcPr>
          <w:p>
            <w:pPr>
              <w:spacing w:after="0" w:before="0" w:line="276" w:lineRule="auto"/>
            </w:pPr>
            <w:r>
              <w:rPr>
                <w:sz w:val="18"/>
                <w:szCs w:val="18"/>
              </w:rPr>
              <w:t xml:space="preserve">Valor del activo, factor de exposición y pérdida esperada por evento único, con SLE = AV × EF.</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Asignación BIA (Semana 2, v6,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2026-09-26T23:15:13.967Z</dcterms:created>
  <dcterms:modified xsi:type="dcterms:W3CDTF">2026-09-26T23:15:13.967Z</dcterms:modified>
</cp:coreProperties>
</file>

<file path=docProps/custom.xml><?xml version="1.0" encoding="utf-8"?>
<Properties xmlns="http://schemas.openxmlformats.org/officeDocument/2006/custom-properties" xmlns:vt="http://schemas.openxmlformats.org/officeDocument/2006/docPropsVTypes"/>
</file>