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spacing w:after="2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100"/>
        <w:jc w:val="center"/>
      </w:pPr>
      <w:r>
        <w:rPr>
          <w:rFonts w:ascii="Calibri" w:cs="Calibri" w:eastAsia="Calibri" w:hAnsi="Calibri"/>
          <w:b/>
          <w:bCs/>
          <w:color w:val="1F3864"/>
          <w:sz w:val="46"/>
          <w:szCs w:val="46"/>
        </w:rPr>
        <w:t xml:space="preserve">C I B E R S E G U R I D A D</w:t>
      </w:r>
    </w:p>
    <w:p>
      <w:pPr>
        <w:spacing w:after="60"/>
        <w:jc w:val="center"/>
      </w:pPr>
      <w:r>
        <w:rPr>
          <w:b/>
          <w:bCs/>
          <w:color w:val="2E5395"/>
          <w:sz w:val="34"/>
          <w:szCs w:val="34"/>
        </w:rPr>
        <w:t xml:space="preserve">Matriz de impacto por categoría y escala de tiempo</w:t>
      </w:r>
    </w:p>
    <w:p>
      <w:pPr>
        <w:spacing w:after="240"/>
        <w:jc w:val="center"/>
      </w:pPr>
      <w:r>
        <w:rPr>
          <w:color w:val="262626"/>
          <w:sz w:val="24"/>
          <w:szCs w:val="24"/>
        </w:rPr>
        <w:t xml:space="preserve">Del umbral de tolerancia se deriva el MTPD</w:t>
      </w:r>
    </w:p>
    <w:p>
      <w:pPr>
        <w:spacing w:after="120" w:before="40" w:line="276" w:lineRule="auto"/>
        <w:jc w:val="center"/>
      </w:pPr>
      <w:r>
        <w:rPr>
          <w:color w:val="595959"/>
          <w:sz w:val="20"/>
          <w:szCs w:val="20"/>
        </w:rPr>
        <w:t xml:space="preserve">Análisis de Impacto en el Negocio · Plantilla 03 de 07</w:t>
      </w:r>
    </w:p>
    <w:p>
      <w:pPr>
        <w:spacing w:after="120" w:before="40" w:line="276" w:lineRule="auto"/>
        <w:jc w:val="center"/>
      </w:pPr>
      <w:r>
        <w:rPr>
          <w:color w:val="595959"/>
          <w:sz w:val="19"/>
          <w:szCs w:val="19"/>
        </w:rPr>
        <w:t xml:space="preserve">ISO 22301:2019 · ISO/TS 22317:2021 · NIST SP 800-34 Rev. 1</w:t>
      </w:r>
    </w:p>
    <w:p>
      <w:pPr>
        <w:spacing w:after="16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Identificación del trabajo</w:t>
      </w:r>
    </w:p>
    <w:p>
      <w:pPr>
        <w:spacing w:after="120" w:before="40" w:line="276" w:lineRule="auto"/>
      </w:pPr>
      <w:r>
        <w:t xml:space="preserve">Esta plantilla se llena por equipo y sobre la empresa que el equipo tiene asignada en el catálogo del Proyecto Final. El caso resuelto que la Guía del Estudiante desarrolla usa la Red Hospitalaria Metropolitana; cada equipo aplica el mismo método a su propia empresa.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6536"/>
      </w:tblGrid>
      <w:tr>
        <w:trPr>
          <w:tblHeader/>
        </w:trPr>
        <w:tc>
          <w:tcPr>
            <w:tcW w:type="dxa" w:w="3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Empresa del catálogo del Proyecto Final</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Sector y tamaño declarados en el perfil</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Equipo (número y nombre)</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Analista responsable de esta plantilla</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elaboración</w:t>
            </w:r>
          </w:p>
        </w:tc>
        <w:tc>
          <w:tcPr>
            <w:tcW w:type="dxa" w:w="65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4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5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pPr>
    </w:p>
    <w:p>
      <w:pPr>
        <w:pStyle w:val="Heading1"/>
      </w:pPr>
      <w:r>
        <w:t xml:space="preserve">2. Cómo se llena</w:t>
      </w:r>
    </w:p>
    <w:p>
      <w:pPr>
        <w:spacing w:after="120" w:before="40" w:line="276" w:lineRule="auto"/>
      </w:pPr>
      <w:r>
        <w:t xml:space="preserve">El impacto no es constante: crece con la duración de la interrupción, y rara vez lo hace de forma lineal. Cada una de las cinco categorías se evalúa por separado en cinco cortes de tiempo, y la curva resultante revela el punto de inflexión, que es el momento en que el daño se dispara. El corte en que la curva cruza el umbral de tolerancia determina el MTPD del proceso, y así el MTPD deja de ser una opinión y pasa a ser el resultado de una medición.</w:t>
      </w:r>
    </w:p>
    <w:p>
      <w:pPr>
        <w:spacing w:after="120" w:before="40" w:line="276" w:lineRule="auto"/>
      </w:pPr>
      <w:r>
        <w:rPr>
          <w:b/>
          <w:bCs/>
        </w:rPr>
        <w:t xml:space="preserve">Proceso evaluado:</w:t>
      </w:r>
      <w:r>
        <w:t xml:space="preserve"> ______________________________________________   </w:t>
      </w:r>
      <w:r>
        <w:rPr>
          <w:b/>
          <w:bCs/>
        </w:rPr>
        <w:t xml:space="preserve">Escenario temporal:</w:t>
      </w:r>
      <w:r>
        <w:t xml:space="preserve"> ____________________________</w:t>
      </w:r>
    </w:p>
    <w:p>
      <w:pPr>
        <w:spacing w:after="120"/>
      </w:pPr>
    </w:p>
    <w:p>
      <w:pPr>
        <w:pStyle w:val="Heading1"/>
      </w:pPr>
      <w:r>
        <w:t xml:space="preserve">3. Escala de valoración declarada</w:t>
      </w:r>
    </w:p>
    <w:p>
      <w:pPr>
        <w:spacing w:after="120" w:before="40" w:line="276" w:lineRule="auto"/>
      </w:pPr>
      <w:r>
        <w:t xml:space="preserve">La categoría financiera se califica con una escala proporcional a las ventas o ingresos anuales que trae la ficha de datos del cliente (bloque «Economía»; en las entidades públicas y sin fines de lucro, el presupuesto operativo anual). Los porcentajes son fijos para todos los equipos: el equipo anota el monto de la ficha y calcula los límites en dólares de su organización. Las otras cuatro categorías se califican con el criterio verbal que el equipo declara para cada nivel.</w:t>
      </w:r>
    </w:p>
    <w:p>
      <w:pPr>
        <w:spacing w:after="120" w:before="40" w:line="276" w:lineRule="auto"/>
      </w:pPr>
      <w:r>
        <w:rPr>
          <w:b/>
          <w:bCs/>
        </w:rPr>
        <w:t xml:space="preserve">Ventas o ingresos anuales de la ficha (USD):</w:t>
      </w:r>
      <w:r>
        <w:t xml:space="preserve"> ______________________________</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100"/>
        <w:gridCol w:w="1800"/>
        <w:gridCol w:w="3036"/>
        <w:gridCol w:w="1200"/>
      </w:tblGrid>
      <w:tr>
        <w:trPr>
          <w:tblHeader/>
        </w:trPr>
        <w:tc>
          <w:tcPr>
            <w:tcW w:type="dxa" w:w="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Nivel</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Etiqueta</w:t>
            </w:r>
          </w:p>
        </w:tc>
        <w:tc>
          <w:tcPr>
            <w:tcW w:type="dxa" w:w="2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Pérdida financiera del corte, en % de las ventas anuales</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Límites en USD para la organización</w:t>
            </w:r>
          </w:p>
        </w:tc>
        <w:tc>
          <w:tcPr>
            <w:tcW w:type="dxa" w:w="30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Criterio verbal de las otras cuatro categorías</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Valor semicuantitativo</w:t>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1</w:t>
            </w:r>
          </w:p>
        </w:tc>
        <w:tc>
          <w:tcPr>
            <w:tcW w:type="dxa" w:w="1100"/>
            <w:tcMar>
              <w:top w:type="dxa" w:w="70"/>
              <w:left w:type="dxa" w:w="110"/>
              <w:bottom w:type="dxa" w:w="70"/>
              <w:right w:type="dxa" w:w="110"/>
            </w:tcMar>
            <w:vAlign w:val="center"/>
          </w:tcPr>
          <w:p>
            <w:pPr>
              <w:spacing w:after="0" w:before="0" w:line="276" w:lineRule="auto"/>
            </w:pPr>
            <w:r>
              <w:rPr>
                <w:sz w:val="17"/>
                <w:szCs w:val="17"/>
              </w:rPr>
              <w:t xml:space="preserve">Bajo</w:t>
            </w:r>
          </w:p>
        </w:tc>
        <w:tc>
          <w:tcPr>
            <w:tcW w:type="dxa" w:w="2100"/>
            <w:tcMar>
              <w:top w:type="dxa" w:w="70"/>
              <w:left w:type="dxa" w:w="110"/>
              <w:bottom w:type="dxa" w:w="70"/>
              <w:right w:type="dxa" w:w="110"/>
            </w:tcMar>
            <w:vAlign w:val="center"/>
          </w:tcPr>
          <w:p>
            <w:pPr>
              <w:spacing w:after="0" w:before="0" w:line="276" w:lineRule="auto"/>
            </w:pPr>
            <w:r>
              <w:rPr>
                <w:sz w:val="17"/>
                <w:szCs w:val="17"/>
              </w:rPr>
              <w:t xml:space="preserve">Menos de 0,01 %</w:t>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3036"/>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2</w:t>
            </w:r>
          </w:p>
        </w:tc>
        <w:tc>
          <w:tcPr>
            <w:tcW w:type="dxa" w:w="1100"/>
            <w:shd w:fill="F2F7FB" w:val="clear"/>
            <w:tcMar>
              <w:top w:type="dxa" w:w="70"/>
              <w:left w:type="dxa" w:w="110"/>
              <w:bottom w:type="dxa" w:w="70"/>
              <w:right w:type="dxa" w:w="110"/>
            </w:tcMar>
            <w:vAlign w:val="center"/>
          </w:tcPr>
          <w:p>
            <w:pPr>
              <w:spacing w:after="0" w:before="0" w:line="276" w:lineRule="auto"/>
            </w:pPr>
            <w:r>
              <w:rPr>
                <w:sz w:val="17"/>
                <w:szCs w:val="17"/>
              </w:rPr>
              <w:t xml:space="preserve">Moderado</w:t>
            </w:r>
          </w:p>
        </w:tc>
        <w:tc>
          <w:tcPr>
            <w:tcW w:type="dxa" w:w="2100"/>
            <w:shd w:fill="F2F7FB" w:val="clear"/>
            <w:tcMar>
              <w:top w:type="dxa" w:w="70"/>
              <w:left w:type="dxa" w:w="110"/>
              <w:bottom w:type="dxa" w:w="70"/>
              <w:right w:type="dxa" w:w="110"/>
            </w:tcMar>
            <w:vAlign w:val="center"/>
          </w:tcPr>
          <w:p>
            <w:pPr>
              <w:spacing w:after="0" w:before="0" w:line="276" w:lineRule="auto"/>
            </w:pPr>
            <w:r>
              <w:rPr>
                <w:sz w:val="17"/>
                <w:szCs w:val="17"/>
              </w:rPr>
              <w:t xml:space="preserve">De 0,01 % a menos de 0,05 %</w:t>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30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3</w:t>
            </w:r>
          </w:p>
        </w:tc>
        <w:tc>
          <w:tcPr>
            <w:tcW w:type="dxa" w:w="1100"/>
            <w:tcMar>
              <w:top w:type="dxa" w:w="70"/>
              <w:left w:type="dxa" w:w="110"/>
              <w:bottom w:type="dxa" w:w="70"/>
              <w:right w:type="dxa" w:w="110"/>
            </w:tcMar>
            <w:vAlign w:val="center"/>
          </w:tcPr>
          <w:p>
            <w:pPr>
              <w:spacing w:after="0" w:before="0" w:line="276" w:lineRule="auto"/>
            </w:pPr>
            <w:r>
              <w:rPr>
                <w:sz w:val="17"/>
                <w:szCs w:val="17"/>
              </w:rPr>
              <w:t xml:space="preserve">Alto</w:t>
            </w:r>
          </w:p>
        </w:tc>
        <w:tc>
          <w:tcPr>
            <w:tcW w:type="dxa" w:w="2100"/>
            <w:tcMar>
              <w:top w:type="dxa" w:w="70"/>
              <w:left w:type="dxa" w:w="110"/>
              <w:bottom w:type="dxa" w:w="70"/>
              <w:right w:type="dxa" w:w="110"/>
            </w:tcMar>
            <w:vAlign w:val="center"/>
          </w:tcPr>
          <w:p>
            <w:pPr>
              <w:spacing w:after="0" w:before="0" w:line="276" w:lineRule="auto"/>
            </w:pPr>
            <w:r>
              <w:rPr>
                <w:sz w:val="17"/>
                <w:szCs w:val="17"/>
              </w:rPr>
              <w:t xml:space="preserve">De 0,05 % a menos de 0,25 %</w:t>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3036"/>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shd w:fill="F2F7FB" w:val="clear"/>
            <w:tcMar>
              <w:top w:type="dxa" w:w="70"/>
              <w:left w:type="dxa" w:w="110"/>
              <w:bottom w:type="dxa" w:w="70"/>
              <w:right w:type="dxa" w:w="110"/>
            </w:tcMar>
            <w:vAlign w:val="center"/>
          </w:tcPr>
          <w:p>
            <w:pPr>
              <w:spacing w:after="0" w:before="0" w:line="276" w:lineRule="auto"/>
            </w:pPr>
            <w:r>
              <w:rPr>
                <w:sz w:val="17"/>
                <w:szCs w:val="17"/>
              </w:rPr>
              <w:t xml:space="preserve">4</w:t>
            </w:r>
          </w:p>
        </w:tc>
        <w:tc>
          <w:tcPr>
            <w:tcW w:type="dxa" w:w="1100"/>
            <w:shd w:fill="F2F7FB" w:val="clear"/>
            <w:tcMar>
              <w:top w:type="dxa" w:w="70"/>
              <w:left w:type="dxa" w:w="110"/>
              <w:bottom w:type="dxa" w:w="70"/>
              <w:right w:type="dxa" w:w="110"/>
            </w:tcMar>
            <w:vAlign w:val="center"/>
          </w:tcPr>
          <w:p>
            <w:pPr>
              <w:spacing w:after="0" w:before="0" w:line="276" w:lineRule="auto"/>
            </w:pPr>
            <w:r>
              <w:rPr>
                <w:sz w:val="17"/>
                <w:szCs w:val="17"/>
              </w:rPr>
              <w:t xml:space="preserve">Grave</w:t>
            </w:r>
          </w:p>
        </w:tc>
        <w:tc>
          <w:tcPr>
            <w:tcW w:type="dxa" w:w="2100"/>
            <w:shd w:fill="F2F7FB" w:val="clear"/>
            <w:tcMar>
              <w:top w:type="dxa" w:w="70"/>
              <w:left w:type="dxa" w:w="110"/>
              <w:bottom w:type="dxa" w:w="70"/>
              <w:right w:type="dxa" w:w="110"/>
            </w:tcMar>
            <w:vAlign w:val="center"/>
          </w:tcPr>
          <w:p>
            <w:pPr>
              <w:spacing w:after="0" w:before="0" w:line="276" w:lineRule="auto"/>
            </w:pPr>
            <w:r>
              <w:rPr>
                <w:sz w:val="17"/>
                <w:szCs w:val="17"/>
              </w:rPr>
              <w:t xml:space="preserve">De 0,25 % a 1 %</w:t>
            </w:r>
          </w:p>
        </w:tc>
        <w:tc>
          <w:tcPr>
            <w:tcW w:type="dxa" w:w="18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3036"/>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700"/>
            <w:tcMar>
              <w:top w:type="dxa" w:w="70"/>
              <w:left w:type="dxa" w:w="110"/>
              <w:bottom w:type="dxa" w:w="70"/>
              <w:right w:type="dxa" w:w="110"/>
            </w:tcMar>
            <w:vAlign w:val="center"/>
          </w:tcPr>
          <w:p>
            <w:pPr>
              <w:spacing w:after="0" w:before="0" w:line="276" w:lineRule="auto"/>
            </w:pPr>
            <w:r>
              <w:rPr>
                <w:sz w:val="17"/>
                <w:szCs w:val="17"/>
              </w:rPr>
              <w:t xml:space="preserve">5</w:t>
            </w:r>
          </w:p>
        </w:tc>
        <w:tc>
          <w:tcPr>
            <w:tcW w:type="dxa" w:w="1100"/>
            <w:tcMar>
              <w:top w:type="dxa" w:w="70"/>
              <w:left w:type="dxa" w:w="110"/>
              <w:bottom w:type="dxa" w:w="70"/>
              <w:right w:type="dxa" w:w="110"/>
            </w:tcMar>
            <w:vAlign w:val="center"/>
          </w:tcPr>
          <w:p>
            <w:pPr>
              <w:spacing w:after="0" w:before="0" w:line="276" w:lineRule="auto"/>
            </w:pPr>
            <w:r>
              <w:rPr>
                <w:sz w:val="17"/>
                <w:szCs w:val="17"/>
              </w:rPr>
              <w:t xml:space="preserve">Crítico</w:t>
            </w:r>
          </w:p>
        </w:tc>
        <w:tc>
          <w:tcPr>
            <w:tcW w:type="dxa" w:w="2100"/>
            <w:tcMar>
              <w:top w:type="dxa" w:w="70"/>
              <w:left w:type="dxa" w:w="110"/>
              <w:bottom w:type="dxa" w:w="70"/>
              <w:right w:type="dxa" w:w="110"/>
            </w:tcMar>
            <w:vAlign w:val="center"/>
          </w:tcPr>
          <w:p>
            <w:pPr>
              <w:spacing w:after="0" w:before="0" w:line="276" w:lineRule="auto"/>
            </w:pPr>
            <w:r>
              <w:rPr>
                <w:sz w:val="17"/>
                <w:szCs w:val="17"/>
              </w:rPr>
              <w:t xml:space="preserve">Más de 1 %</w:t>
            </w:r>
          </w:p>
        </w:tc>
        <w:tc>
          <w:tcPr>
            <w:tcW w:type="dxa" w:w="180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3036"/>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200"/>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20" w:before="40" w:line="276" w:lineRule="auto"/>
      </w:pPr>
      <w:r>
        <w:rPr>
          <w:color w:val="595959"/>
          <w:sz w:val="19"/>
          <w:szCs w:val="19"/>
        </w:rPr>
        <w:t xml:space="preserve">Ejemplo de cálculo: con ventas anuales de USD 360 millones, los límites son USD 36 000 (0,01 %), 180 000 (0,05 %), 900 000 (0,25 %) y 3 600 000 (1 %); una pérdida de USD 1 488 000 en el corte de 24 horas equivale al 0,41 % y se califica en el nivel 4.</w:t>
      </w:r>
    </w:p>
    <w:p>
      <w:pPr>
        <w:spacing w:after="120" w:before="40" w:line="276" w:lineRule="auto"/>
      </w:pPr>
      <w:r>
        <w:t xml:space="preserve">Cuando el criterio monetario y el criterio verbal arrojan niveles distintos para un mismo corte, se registra el mayor de los dos.</w:t>
      </w:r>
    </w:p>
    <w:p>
      <w:pPr>
        <w:spacing w:after="120" w:before="40" w:line="276" w:lineRule="auto"/>
      </w:pPr>
      <w:r>
        <w:t xml:space="preserve">Regla de redondeo: el porcentaje de cada corte se calcula con dos decimales sobre el monto de la ficha y se ubica en la tabla tal como está escrita; el puntaje de criticidad de BIA_P05 se redondea a dos decimales, la mitad hacia arriba.</w:t>
      </w:r>
    </w:p>
    <w:p>
      <w:pPr>
        <w:spacing w:after="120"/>
      </w:pPr>
    </w:p>
    <w:p>
      <w:pPr>
        <w:pStyle w:val="Heading1"/>
      </w:pPr>
      <w:r>
        <w:t xml:space="preserve">4. Matriz de impacto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36"/>
        <w:gridCol w:w="1560"/>
        <w:gridCol w:w="1560"/>
        <w:gridCol w:w="1560"/>
        <w:gridCol w:w="1560"/>
        <w:gridCol w:w="1560"/>
      </w:tblGrid>
      <w:tr>
        <w:trPr>
          <w:tblHeader/>
        </w:trPr>
        <w:tc>
          <w:tcPr>
            <w:tcW w:type="dxa" w:w="2136"/>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Categoría de impacto</w:t>
            </w:r>
          </w:p>
        </w:tc>
        <w:tc>
          <w:tcPr>
            <w:tcW w:type="dxa" w:w="1560"/>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4 horas</w:t>
            </w:r>
          </w:p>
        </w:tc>
        <w:tc>
          <w:tcPr>
            <w:tcW w:type="dxa" w:w="1560"/>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24 horas</w:t>
            </w:r>
          </w:p>
        </w:tc>
        <w:tc>
          <w:tcPr>
            <w:tcW w:type="dxa" w:w="1560"/>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72 horas</w:t>
            </w:r>
          </w:p>
        </w:tc>
        <w:tc>
          <w:tcPr>
            <w:tcW w:type="dxa" w:w="1560"/>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1 semana</w:t>
            </w:r>
          </w:p>
        </w:tc>
        <w:tc>
          <w:tcPr>
            <w:tcW w:type="dxa" w:w="1560"/>
            <w:shd w:fill="1F3864" w:val="clear"/>
            <w:tcMar>
              <w:top w:type="dxa" w:w="70"/>
              <w:left w:type="dxa" w:w="110"/>
              <w:bottom w:type="dxa" w:w="70"/>
              <w:right w:type="dxa" w:w="110"/>
            </w:tcMar>
            <w:vAlign w:val="center"/>
          </w:tcPr>
          <w:p>
            <w:pPr>
              <w:spacing w:after="0" w:before="0" w:line="276" w:lineRule="auto"/>
            </w:pPr>
            <w:r>
              <w:rPr>
                <w:b/>
                <w:bCs/>
                <w:color w:val="FFFFFF"/>
                <w:sz w:val="18"/>
                <w:szCs w:val="18"/>
              </w:rPr>
              <w:t xml:space="preserve">1 mes</w:t>
            </w:r>
          </w:p>
        </w:tc>
      </w:tr>
      <w:tr>
        <w:trPr>
          <w:cantSplit/>
        </w:trPr>
        <w:tc>
          <w:tcPr>
            <w:tcW w:type="dxa" w:w="2136"/>
            <w:tcMar>
              <w:top w:type="dxa" w:w="70"/>
              <w:left w:type="dxa" w:w="110"/>
              <w:bottom w:type="dxa" w:w="70"/>
              <w:right w:type="dxa" w:w="110"/>
            </w:tcMar>
            <w:vAlign w:val="center"/>
          </w:tcPr>
          <w:p>
            <w:pPr>
              <w:spacing w:after="0" w:before="0" w:line="276" w:lineRule="auto"/>
            </w:pPr>
            <w:r>
              <w:rPr>
                <w:sz w:val="17"/>
                <w:szCs w:val="17"/>
              </w:rPr>
              <w:t xml:space="preserve">Financiero — ingresos perdidos, multas, remediación, compensaciones</w:t>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136"/>
            <w:shd w:fill="F2F7FB" w:val="clear"/>
            <w:tcMar>
              <w:top w:type="dxa" w:w="70"/>
              <w:left w:type="dxa" w:w="110"/>
              <w:bottom w:type="dxa" w:w="70"/>
              <w:right w:type="dxa" w:w="110"/>
            </w:tcMar>
            <w:vAlign w:val="center"/>
          </w:tcPr>
          <w:p>
            <w:pPr>
              <w:spacing w:after="0" w:before="0" w:line="276" w:lineRule="auto"/>
            </w:pPr>
            <w:r>
              <w:rPr>
                <w:sz w:val="17"/>
                <w:szCs w:val="17"/>
              </w:rPr>
              <w:t xml:space="preserve">Operativo — producción detenida, servicios dependientes, productividad</w:t>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136"/>
            <w:tcMar>
              <w:top w:type="dxa" w:w="70"/>
              <w:left w:type="dxa" w:w="110"/>
              <w:bottom w:type="dxa" w:w="70"/>
              <w:right w:type="dxa" w:w="110"/>
            </w:tcMar>
            <w:vAlign w:val="center"/>
          </w:tcPr>
          <w:p>
            <w:pPr>
              <w:spacing w:after="0" w:before="0" w:line="276" w:lineRule="auto"/>
            </w:pPr>
            <w:r>
              <w:rPr>
                <w:sz w:val="17"/>
                <w:szCs w:val="17"/>
              </w:rPr>
              <w:t xml:space="preserve">Legal y regulatorio — incumplimiento, sanciones, pérdida de certificaciones</w:t>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136"/>
            <w:shd w:fill="F2F7FB" w:val="clear"/>
            <w:tcMar>
              <w:top w:type="dxa" w:w="70"/>
              <w:left w:type="dxa" w:w="110"/>
              <w:bottom w:type="dxa" w:w="70"/>
              <w:right w:type="dxa" w:w="110"/>
            </w:tcMar>
            <w:vAlign w:val="center"/>
          </w:tcPr>
          <w:p>
            <w:pPr>
              <w:spacing w:after="0" w:before="0" w:line="276" w:lineRule="auto"/>
            </w:pPr>
            <w:r>
              <w:rPr>
                <w:sz w:val="17"/>
                <w:szCs w:val="17"/>
              </w:rPr>
              <w:t xml:space="preserve">Reputacional — confianza de clientes, cobertura negativa, marca</w:t>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136"/>
            <w:tcMar>
              <w:top w:type="dxa" w:w="70"/>
              <w:left w:type="dxa" w:w="110"/>
              <w:bottom w:type="dxa" w:w="70"/>
              <w:right w:type="dxa" w:w="110"/>
            </w:tcMar>
            <w:vAlign w:val="center"/>
          </w:tcPr>
          <w:p>
            <w:pPr>
              <w:spacing w:after="0" w:before="0" w:line="276" w:lineRule="auto"/>
            </w:pPr>
            <w:r>
              <w:rPr>
                <w:sz w:val="17"/>
                <w:szCs w:val="17"/>
              </w:rPr>
              <w:t xml:space="preserve">Seguridad de las personas — vida e integridad física</w:t>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tcMar>
              <w:top w:type="dxa" w:w="70"/>
              <w:left w:type="dxa" w:w="110"/>
              <w:bottom w:type="dxa" w:w="70"/>
              <w:right w:type="dxa" w:w="110"/>
            </w:tcMar>
            <w:vAlign w:val="center"/>
          </w:tcPr>
          <w:p>
            <w:pPr>
              <w:spacing w:after="0" w:before="0" w:line="276" w:lineRule="auto"/>
            </w:pPr>
            <w:r>
              <w:rPr>
                <w:sz w:val="17"/>
                <w:szCs w:val="17"/>
              </w:rPr>
              <w:t xml:space="preserve"/>
            </w:r>
          </w:p>
        </w:tc>
      </w:tr>
      <w:tr>
        <w:trPr>
          <w:cantSplit/>
        </w:trPr>
        <w:tc>
          <w:tcPr>
            <w:tcW w:type="dxa" w:w="2136"/>
            <w:shd w:fill="F2F7FB" w:val="clear"/>
            <w:tcMar>
              <w:top w:type="dxa" w:w="70"/>
              <w:left w:type="dxa" w:w="110"/>
              <w:bottom w:type="dxa" w:w="70"/>
              <w:right w:type="dxa" w:w="110"/>
            </w:tcMar>
            <w:vAlign w:val="center"/>
          </w:tcPr>
          <w:p>
            <w:pPr>
              <w:spacing w:after="0" w:before="0" w:line="276" w:lineRule="auto"/>
            </w:pPr>
            <w:r>
              <w:rPr>
                <w:b/>
                <w:bCs/>
                <w:sz w:val="17"/>
                <w:szCs w:val="17"/>
              </w:rPr>
              <w:t xml:space="preserve">Impacto consolidado del corte</w:t>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c>
          <w:tcPr>
            <w:tcW w:type="dxa" w:w="1560"/>
            <w:shd w:fill="F2F7FB" w:val="clear"/>
            <w:tcMar>
              <w:top w:type="dxa" w:w="70"/>
              <w:left w:type="dxa" w:w="110"/>
              <w:bottom w:type="dxa" w:w="70"/>
              <w:right w:type="dxa" w:w="110"/>
            </w:tcMar>
            <w:vAlign w:val="center"/>
          </w:tcPr>
          <w:p>
            <w:pPr>
              <w:spacing w:after="0" w:before="0" w:line="276" w:lineRule="auto"/>
            </w:pPr>
            <w:r>
              <w:rPr>
                <w:sz w:val="17"/>
                <w:szCs w:val="17"/>
              </w:rPr>
              <w:t xml:space="preserve"/>
            </w:r>
          </w:p>
        </w:tc>
      </w:tr>
    </w:tbl>
    <w:p>
      <w:pPr>
        <w:spacing w:after="120" w:before="40" w:line="276" w:lineRule="auto"/>
      </w:pPr>
      <w:r>
        <w:rPr>
          <w:color w:val="595959"/>
          <w:sz w:val="19"/>
          <w:szCs w:val="19"/>
        </w:rPr>
        <w:t xml:space="preserve">En un hospital, en una planta industrial o en un servicio público esencial, la categoría de seguridad de las personas manda sobre las otras cuatro y decide por sí sola el orden de recuperación.</w:t>
      </w:r>
    </w:p>
    <w:p>
      <w:pPr>
        <w:spacing w:after="140"/>
      </w:pPr>
    </w:p>
    <w:p>
      <w:pPr>
        <w:pStyle w:val="Heading1"/>
      </w:pPr>
      <w:r>
        <w:t xml:space="preserve">5. Umbral de tolerancia y derivación del MTPD</w:t>
      </w:r>
    </w:p>
    <w:p>
      <w:pPr>
        <w:spacing w:after="120" w:before="40" w:line="276" w:lineRule="auto"/>
      </w:pPr>
      <w:r>
        <w:t xml:space="preserve">El umbral de tolerancia es el nivel de daño que la organización declara inaceptable. Se acuerda con la dirección antes de mirar la matriz, para que la medición no se ajuste a la conclusión deseada.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400"/>
        <w:gridCol w:w="5536"/>
      </w:tblGrid>
      <w:tr>
        <w:trPr>
          <w:tblHeader/>
        </w:trPr>
        <w:tc>
          <w:tcPr>
            <w:tcW w:type="dxa" w:w="4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5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4400"/>
            <w:tcMar>
              <w:top w:type="dxa" w:w="70"/>
              <w:left w:type="dxa" w:w="110"/>
              <w:bottom w:type="dxa" w:w="70"/>
              <w:right w:type="dxa" w:w="110"/>
            </w:tcMar>
            <w:vAlign w:val="center"/>
          </w:tcPr>
          <w:p>
            <w:pPr>
              <w:spacing w:after="0" w:before="0" w:line="276" w:lineRule="auto"/>
            </w:pPr>
            <w:r>
              <w:rPr>
                <w:sz w:val="18"/>
                <w:szCs w:val="18"/>
              </w:rPr>
              <w:t xml:space="preserve">Umbral de tolerancia declarado (nivel o monto)</w:t>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shd w:fill="F2F7FB" w:val="clear"/>
            <w:tcMar>
              <w:top w:type="dxa" w:w="70"/>
              <w:left w:type="dxa" w:w="110"/>
              <w:bottom w:type="dxa" w:w="70"/>
              <w:right w:type="dxa" w:w="110"/>
            </w:tcMar>
            <w:vAlign w:val="center"/>
          </w:tcPr>
          <w:p>
            <w:pPr>
              <w:spacing w:after="0" w:before="0" w:line="276" w:lineRule="auto"/>
            </w:pPr>
            <w:r>
              <w:rPr>
                <w:sz w:val="18"/>
                <w:szCs w:val="18"/>
              </w:rPr>
              <w:t xml:space="preserve">Quién lo aprueba (nombre y cargo)</w:t>
            </w:r>
          </w:p>
        </w:tc>
        <w:tc>
          <w:tcPr>
            <w:tcW w:type="dxa" w:w="5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tcMar>
              <w:top w:type="dxa" w:w="70"/>
              <w:left w:type="dxa" w:w="110"/>
              <w:bottom w:type="dxa" w:w="70"/>
              <w:right w:type="dxa" w:w="110"/>
            </w:tcMar>
            <w:vAlign w:val="center"/>
          </w:tcPr>
          <w:p>
            <w:pPr>
              <w:spacing w:after="0" w:before="0" w:line="276" w:lineRule="auto"/>
            </w:pPr>
            <w:r>
              <w:rPr>
                <w:sz w:val="18"/>
                <w:szCs w:val="18"/>
              </w:rPr>
              <w:t xml:space="preserve">Fecha de aprobación</w:t>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shd w:fill="F2F7FB" w:val="clear"/>
            <w:tcMar>
              <w:top w:type="dxa" w:w="70"/>
              <w:left w:type="dxa" w:w="110"/>
              <w:bottom w:type="dxa" w:w="70"/>
              <w:right w:type="dxa" w:w="110"/>
            </w:tcMar>
            <w:vAlign w:val="center"/>
          </w:tcPr>
          <w:p>
            <w:pPr>
              <w:spacing w:after="0" w:before="0" w:line="276" w:lineRule="auto"/>
            </w:pPr>
            <w:r>
              <w:rPr>
                <w:sz w:val="18"/>
                <w:szCs w:val="18"/>
              </w:rPr>
              <w:t xml:space="preserve">Primer corte de tiempo en que alguna categoría cruza el umbral</w:t>
            </w:r>
          </w:p>
        </w:tc>
        <w:tc>
          <w:tcPr>
            <w:tcW w:type="dxa" w:w="5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tcMar>
              <w:top w:type="dxa" w:w="70"/>
              <w:left w:type="dxa" w:w="110"/>
              <w:bottom w:type="dxa" w:w="70"/>
              <w:right w:type="dxa" w:w="110"/>
            </w:tcMar>
            <w:vAlign w:val="center"/>
          </w:tcPr>
          <w:p>
            <w:pPr>
              <w:spacing w:after="0" w:before="0" w:line="276" w:lineRule="auto"/>
            </w:pPr>
            <w:r>
              <w:rPr>
                <w:sz w:val="18"/>
                <w:szCs w:val="18"/>
              </w:rPr>
              <w:t xml:space="preserve">Categoría que produce el cruce</w:t>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shd w:fill="F2F7FB" w:val="clear"/>
            <w:tcMar>
              <w:top w:type="dxa" w:w="70"/>
              <w:left w:type="dxa" w:w="110"/>
              <w:bottom w:type="dxa" w:w="70"/>
              <w:right w:type="dxa" w:w="110"/>
            </w:tcMar>
            <w:vAlign w:val="center"/>
          </w:tcPr>
          <w:p>
            <w:pPr>
              <w:spacing w:after="0" w:before="0" w:line="276" w:lineRule="auto"/>
            </w:pPr>
            <w:r>
              <w:rPr>
                <w:b/>
                <w:bCs/>
                <w:sz w:val="18"/>
                <w:szCs w:val="18"/>
              </w:rPr>
              <w:t xml:space="preserve">MTPD derivado del cruce</w:t>
            </w:r>
          </w:p>
        </w:tc>
        <w:tc>
          <w:tcPr>
            <w:tcW w:type="dxa" w:w="5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tcMar>
              <w:top w:type="dxa" w:w="70"/>
              <w:left w:type="dxa" w:w="110"/>
              <w:bottom w:type="dxa" w:w="70"/>
              <w:right w:type="dxa" w:w="110"/>
            </w:tcMar>
            <w:vAlign w:val="center"/>
          </w:tcPr>
          <w:p>
            <w:pPr>
              <w:spacing w:after="0" w:before="0" w:line="276" w:lineRule="auto"/>
            </w:pPr>
            <w:r>
              <w:rPr>
                <w:sz w:val="18"/>
                <w:szCs w:val="18"/>
              </w:rPr>
              <w:t xml:space="preserve">MTPD declarado en la ficha del proceso</w:t>
            </w:r>
          </w:p>
        </w:tc>
        <w:tc>
          <w:tcPr>
            <w:tcW w:type="dxa" w:w="5536"/>
            <w:tcMar>
              <w:top w:type="dxa" w:w="70"/>
              <w:left w:type="dxa" w:w="110"/>
              <w:bottom w:type="dxa" w:w="70"/>
              <w:right w:type="dxa" w:w="110"/>
            </w:tcMar>
            <w:vAlign w:val="center"/>
          </w:tcPr>
          <w:p>
            <w:pPr>
              <w:spacing w:after="0" w:before="0" w:line="276" w:lineRule="auto"/>
            </w:pPr>
            <w:r>
              <w:rPr>
                <w:sz w:val="18"/>
                <w:szCs w:val="18"/>
              </w:rPr>
              <w:t xml:space="preserve"/>
            </w:r>
          </w:p>
        </w:tc>
      </w:tr>
      <w:tr>
        <w:trPr>
          <w:cantSplit/>
        </w:trPr>
        <w:tc>
          <w:tcPr>
            <w:tcW w:type="dxa" w:w="4400"/>
            <w:shd w:fill="F2F7FB" w:val="clear"/>
            <w:tcMar>
              <w:top w:type="dxa" w:w="70"/>
              <w:left w:type="dxa" w:w="110"/>
              <w:bottom w:type="dxa" w:w="70"/>
              <w:right w:type="dxa" w:w="110"/>
            </w:tcMar>
            <w:vAlign w:val="center"/>
          </w:tcPr>
          <w:p>
            <w:pPr>
              <w:spacing w:after="0" w:before="0" w:line="276" w:lineRule="auto"/>
            </w:pPr>
            <w:r>
              <w:rPr>
                <w:sz w:val="18"/>
                <w:szCs w:val="18"/>
              </w:rPr>
              <w:t xml:space="preserve">Coincidencia entre ambos (Sí / No) y explicación de la diferencia</w:t>
            </w:r>
          </w:p>
        </w:tc>
        <w:tc>
          <w:tcPr>
            <w:tcW w:type="dxa" w:w="5536"/>
            <w:shd w:fill="F2F7FB" w:val="clear"/>
            <w:tcMar>
              <w:top w:type="dxa" w:w="70"/>
              <w:left w:type="dxa" w:w="110"/>
              <w:bottom w:type="dxa" w:w="70"/>
              <w:right w:type="dxa" w:w="110"/>
            </w:tcMar>
            <w:vAlign w:val="center"/>
          </w:tcPr>
          <w:p>
            <w:pPr>
              <w:spacing w:after="0" w:before="0" w:line="276" w:lineRule="auto"/>
            </w:pPr>
            <w:r>
              <w:rPr>
                <w:sz w:val="18"/>
                <w:szCs w:val="18"/>
              </w:rPr>
              <w:t xml:space="preserve"/>
            </w:r>
          </w:p>
        </w:tc>
      </w:tr>
    </w:tbl>
    <w:p>
      <w:pPr>
        <w:spacing w:after="120" w:before="40" w:line="276" w:lineRule="auto"/>
      </w:pPr>
      <w:r>
        <w:t xml:space="preserve">El impacto consolidado del corte es el mayor de las cinco categorías; el umbral expresa intolerancia y no promedio.</w:t>
      </w:r>
    </w:p>
    <w:p>
      <w:pPr>
        <w:spacing w:after="120"/>
      </w:pPr>
    </w:p>
    <w:p>
      <w:pPr>
        <w:pStyle w:val="Heading1"/>
      </w:pPr>
      <w:r>
        <w:t xml:space="preserve">6. Punto de inflexión de la curva</w:t>
      </w:r>
    </w:p>
    <w:p>
      <w:pPr>
        <w:spacing w:after="120" w:before="40" w:line="276" w:lineRule="auto"/>
      </w:pPr>
      <w:r>
        <w:t xml:space="preserve">Describir en qué corte el impacto deja de crecer de forma gradual y se dispara, y qué mecanismo lo explica: la pérdida de la licencia, el vencimiento de un plazo contractual, la fuga de clientes, el riesgo para la vida.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5395" w:sz="14"/>
              <w:left w:val="single" w:color="CFDCEE" w:sz="4"/>
              <w:bottom w:val="single" w:color="CFDCEE" w:sz="4"/>
              <w:right w:val="single" w:color="CFDCEE" w:sz="4"/>
            </w:tcBorders>
            <w:shd w:fill="F2F7FB" w:val="clear"/>
            <w:tcMar>
              <w:top w:type="dxa" w:w="140"/>
              <w:left w:type="dxa" w:w="200"/>
              <w:bottom w:type="dxa" w:w="140"/>
              <w:right w:type="dxa" w:w="200"/>
            </w:tcMar>
          </w:tcPr>
          <w:p>
            <w:pPr>
              <w:spacing w:after="190" w:before="40" w:line="276" w:lineRule="auto"/>
            </w:pPr>
            <w:r>
              <w:t xml:space="preserve"/>
            </w:r>
          </w:p>
          <w:p>
            <w:pPr>
              <w:spacing w:after="190" w:before="40" w:line="276" w:lineRule="auto"/>
            </w:pPr>
            <w:r>
              <w:t xml:space="preserve"/>
            </w:r>
          </w:p>
          <w:p>
            <w:pPr>
              <w:spacing w:after="190" w:before="40" w:line="276" w:lineRule="auto"/>
            </w:pPr>
            <w:r>
              <w:t xml:space="preserve"/>
            </w:r>
          </w:p>
        </w:tc>
      </w:tr>
    </w:tbl>
    <w:p>
      <w:pPr>
        <w:pStyle w:val="Heading1"/>
      </w:pPr>
      <w:r>
        <w:t xml:space="preserve">7. Glosario de los campos de esta plantilla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Término</w:t>
            </w:r>
          </w:p>
        </w:tc>
        <w:tc>
          <w:tcPr>
            <w:tcW w:type="dxa" w:w="7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Definición</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Categoría de impacto</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Dimensión en que se mide el daño de la interrupción. El análisis usa cinco: financiero, operativo, legal y regulatorio, reputacional, y seguridad de las personas.</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Corte de tiempo</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Duración de interrupción en que se evalúa el impacto. La asignación usa cinco: 4 horas, 24 horas, 72 horas, 1 semana y 1 mes.</w:t>
            </w:r>
          </w:p>
        </w:tc>
      </w:tr>
      <w:tr>
        <w:trPr>
          <w:cantSplit/>
        </w:trPr>
        <w:tc>
          <w:tcPr>
            <w:tcW w:type="dxa" w:w="2600"/>
            <w:tcMar>
              <w:top w:type="dxa" w:w="70"/>
              <w:left w:type="dxa" w:w="110"/>
              <w:bottom w:type="dxa" w:w="70"/>
              <w:right w:type="dxa" w:w="110"/>
            </w:tcMar>
            <w:vAlign w:val="center"/>
          </w:tcPr>
          <w:p>
            <w:pPr>
              <w:spacing w:after="0" w:before="0" w:line="276" w:lineRule="auto"/>
            </w:pPr>
            <w:r>
              <w:rPr>
                <w:sz w:val="18"/>
                <w:szCs w:val="18"/>
              </w:rPr>
              <w:t xml:space="preserve">Umbral de tolerancia</w:t>
            </w:r>
          </w:p>
        </w:tc>
        <w:tc>
          <w:tcPr>
            <w:tcW w:type="dxa" w:w="7336"/>
            <w:tcMar>
              <w:top w:type="dxa" w:w="70"/>
              <w:left w:type="dxa" w:w="110"/>
              <w:bottom w:type="dxa" w:w="70"/>
              <w:right w:type="dxa" w:w="110"/>
            </w:tcMar>
            <w:vAlign w:val="center"/>
          </w:tcPr>
          <w:p>
            <w:pPr>
              <w:spacing w:after="0" w:before="0" w:line="276" w:lineRule="auto"/>
            </w:pPr>
            <w:r>
              <w:rPr>
                <w:sz w:val="18"/>
                <w:szCs w:val="18"/>
              </w:rPr>
              <w:t xml:space="preserve">Nivel de daño que la organización declara inaceptable y que la dirección aprueba antes de la valoración.</w:t>
            </w:r>
          </w:p>
        </w:tc>
      </w:tr>
      <w:tr>
        <w:trPr>
          <w:cantSplit/>
        </w:trPr>
        <w:tc>
          <w:tcPr>
            <w:tcW w:type="dxa" w:w="2600"/>
            <w:shd w:fill="F2F7FB" w:val="clear"/>
            <w:tcMar>
              <w:top w:type="dxa" w:w="70"/>
              <w:left w:type="dxa" w:w="110"/>
              <w:bottom w:type="dxa" w:w="70"/>
              <w:right w:type="dxa" w:w="110"/>
            </w:tcMar>
            <w:vAlign w:val="center"/>
          </w:tcPr>
          <w:p>
            <w:pPr>
              <w:spacing w:after="0" w:before="0" w:line="276" w:lineRule="auto"/>
            </w:pPr>
            <w:r>
              <w:rPr>
                <w:sz w:val="18"/>
                <w:szCs w:val="18"/>
              </w:rPr>
              <w:t xml:space="preserve">Punto de inflexión</w:t>
            </w:r>
          </w:p>
        </w:tc>
        <w:tc>
          <w:tcPr>
            <w:tcW w:type="dxa" w:w="7336"/>
            <w:shd w:fill="F2F7FB" w:val="clear"/>
            <w:tcMar>
              <w:top w:type="dxa" w:w="70"/>
              <w:left w:type="dxa" w:w="110"/>
              <w:bottom w:type="dxa" w:w="70"/>
              <w:right w:type="dxa" w:w="110"/>
            </w:tcMar>
            <w:vAlign w:val="center"/>
          </w:tcPr>
          <w:p>
            <w:pPr>
              <w:spacing w:after="0" w:before="0" w:line="276" w:lineRule="auto"/>
            </w:pPr>
            <w:r>
              <w:rPr>
                <w:sz w:val="18"/>
                <w:szCs w:val="18"/>
              </w:rPr>
              <w:t xml:space="preserve">Corte de tiempo a partir del cual el impacto crece de forma abrupta.</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Asignación BIA (Semana 2, v6,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2026-09-26T23:15:14.040Z</dcterms:created>
  <dcterms:modified xsi:type="dcterms:W3CDTF">2026-09-26T23:15:14.040Z</dcterms:modified>
</cp:coreProperties>
</file>

<file path=docProps/custom.xml><?xml version="1.0" encoding="utf-8"?>
<Properties xmlns="http://schemas.openxmlformats.org/officeDocument/2006/custom-properties" xmlns:vt="http://schemas.openxmlformats.org/officeDocument/2006/docPropsVTypes"/>
</file>