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spacing w:after="2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after="100"/>
        <w:jc w:val="center"/>
      </w:pPr>
      <w:r>
        <w:rPr>
          <w:rFonts w:ascii="Calibri" w:cs="Calibri" w:eastAsia="Calibri" w:hAnsi="Calibri"/>
          <w:b/>
          <w:bCs/>
          <w:color w:val="1F3864"/>
          <w:sz w:val="46"/>
          <w:szCs w:val="46"/>
        </w:rPr>
        <w:t xml:space="preserve">C I B E R S E G U R I D A D</w:t>
      </w:r>
    </w:p>
    <w:p>
      <w:pPr>
        <w:spacing w:after="60"/>
        <w:jc w:val="center"/>
      </w:pPr>
      <w:r>
        <w:rPr>
          <w:b/>
          <w:bCs/>
          <w:color w:val="2E5395"/>
          <w:sz w:val="34"/>
          <w:szCs w:val="34"/>
        </w:rPr>
        <w:t xml:space="preserve">Mapa de dependencias y recursos mínimos</w:t>
      </w:r>
    </w:p>
    <w:p>
      <w:pPr>
        <w:spacing w:after="240"/>
        <w:jc w:val="center"/>
      </w:pPr>
      <w:r>
        <w:rPr>
          <w:color w:val="262626"/>
          <w:sz w:val="24"/>
          <w:szCs w:val="24"/>
        </w:rPr>
        <w:t xml:space="preserve">Seis clases de dependencia, recursos del MBCO y puntos únicos de falla</w:t>
      </w:r>
    </w:p>
    <w:p>
      <w:pPr>
        <w:spacing w:after="120" w:before="40" w:line="276" w:lineRule="auto"/>
        <w:jc w:val="center"/>
      </w:pPr>
      <w:r>
        <w:rPr>
          <w:color w:val="595959"/>
          <w:sz w:val="20"/>
          <w:szCs w:val="20"/>
        </w:rPr>
        <w:t xml:space="preserve">Análisis de Impacto en el Negocio · Plantilla 04 de 07</w:t>
      </w:r>
    </w:p>
    <w:p>
      <w:pPr>
        <w:spacing w:after="120" w:before="40" w:line="276" w:lineRule="auto"/>
        <w:jc w:val="center"/>
      </w:pPr>
      <w:r>
        <w:rPr>
          <w:color w:val="595959"/>
          <w:sz w:val="19"/>
          <w:szCs w:val="19"/>
        </w:rPr>
        <w:t xml:space="preserve">ISO 22301:2019 · ISO/TS 22317:2021 · NIST SP 800-34 Rev. 1</w:t>
      </w:r>
    </w:p>
    <w:p>
      <w:pPr>
        <w:spacing w:after="16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Identificación del trabajo</w:t>
      </w:r>
    </w:p>
    <w:p>
      <w:pPr>
        <w:spacing w:after="120" w:before="40" w:line="276" w:lineRule="auto"/>
      </w:pPr>
      <w:r>
        <w:t xml:space="preserve">Esta plantilla se llena por equipo y sobre la empresa que el equipo tiene asignada en el catálogo del Proyecto Final. El caso resuelto que la Guía del Estudiante desarrolla usa la Red Hospitalaria Metropolitana; cada equipo aplica el mismo método a su propia empresa.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Empresa del catálogo del Proyecto Final</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Sector y tamaño declarados en el perfil</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Equipo (número y nombre)</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Analista responsable de esta plantilla</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Fecha de elaboración</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bl>
    <w:p>
      <w:pPr>
        <w:spacing w:after="120"/>
      </w:pPr>
    </w:p>
    <w:p>
      <w:pPr>
        <w:pStyle w:val="Heading1"/>
      </w:pPr>
      <w:r>
        <w:t xml:space="preserve">2. Cómo se llena</w:t>
      </w:r>
    </w:p>
    <w:p>
      <w:pPr>
        <w:spacing w:after="120" w:before="40" w:line="276" w:lineRule="auto"/>
      </w:pPr>
      <w:r>
        <w:t xml:space="preserve">Ningún proceso opera solo. El mapa de dependencias es la parte del análisis que más hallazgos produce, porque expone compromisos que nadie había escrito. De cada dependencia se extraen dos datos: el recurso mínimo que exige para operar en el nivel del MBCO, que es siempre menor que el requerimiento de la operación normal, y si constituye un punto único de falla, es decir una dependencia sin alternativa cuya caída detiene el proceso por completo.</w:t>
      </w:r>
    </w:p>
    <w:p>
      <w:pPr>
        <w:spacing w:after="120" w:before="40" w:line="276" w:lineRule="auto"/>
      </w:pPr>
      <w:r>
        <w:rPr>
          <w:b/>
          <w:bCs/>
        </w:rPr>
        <w:t xml:space="preserve">Proceso analizado:</w:t>
      </w:r>
      <w:r>
        <w:t xml:space="preserve"> ____________________________________________________________________________</w:t>
      </w:r>
    </w:p>
    <w:p>
      <w:pPr>
        <w:spacing w:after="120"/>
      </w:pPr>
    </w:p>
    <w:p>
      <w:pPr>
        <w:pStyle w:val="Heading1"/>
      </w:pPr>
      <w:r>
        <w:t xml:space="preserve">3. Las seis clases de dependencia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900"/>
        <w:gridCol w:w="1700"/>
        <w:gridCol w:w="1736"/>
      </w:tblGrid>
      <w:tr>
        <w:trPr>
          <w:tblHeader/>
        </w:trPr>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Clase de dependencia</w:t>
            </w:r>
          </w:p>
        </w:tc>
        <w:tc>
          <w:tcPr>
            <w:tcW w:type="dxa" w:w="19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Dependencia concreta</w:t>
            </w:r>
          </w:p>
        </w:tc>
        <w:tc>
          <w:tcPr>
            <w:tcW w:type="dxa" w:w="20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Recurso mínimo para operar en el MBCO</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SPOF (Sí/No)</w:t>
            </w:r>
          </w:p>
        </w:tc>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Alternativa disponible</w:t>
            </w:r>
          </w:p>
        </w:tc>
        <w:tc>
          <w:tcPr>
            <w:tcW w:type="dxa" w:w="1736"/>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Observaciones</w:t>
            </w:r>
          </w:p>
        </w:tc>
      </w:tr>
      <w:tr>
        <w:trPr>
          <w:cantSplit/>
        </w:trPr>
        <w:tc>
          <w:tcPr>
            <w:tcW w:type="dxa" w:w="1700"/>
            <w:tcMar>
              <w:top w:type="dxa" w:w="70"/>
              <w:left w:type="dxa" w:w="110"/>
              <w:bottom w:type="dxa" w:w="70"/>
              <w:right w:type="dxa" w:w="110"/>
            </w:tcMar>
            <w:vAlign w:val="center"/>
          </w:tcPr>
          <w:p>
            <w:pPr>
              <w:spacing w:after="0" w:before="0" w:line="276" w:lineRule="auto"/>
            </w:pPr>
            <w:r>
              <w:rPr>
                <w:sz w:val="16"/>
                <w:szCs w:val="16"/>
              </w:rPr>
              <w:t xml:space="preserve">Personas y competencias críticas</w:t>
            </w:r>
          </w:p>
        </w:tc>
        <w:tc>
          <w:tcPr>
            <w:tcW w:type="dxa" w:w="1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Personas y competencias críticas</w:t>
            </w:r>
          </w:p>
        </w:tc>
        <w:tc>
          <w:tcPr>
            <w:tcW w:type="dxa" w:w="1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1700"/>
            <w:tcMar>
              <w:top w:type="dxa" w:w="70"/>
              <w:left w:type="dxa" w:w="110"/>
              <w:bottom w:type="dxa" w:w="70"/>
              <w:right w:type="dxa" w:w="110"/>
            </w:tcMar>
            <w:vAlign w:val="center"/>
          </w:tcPr>
          <w:p>
            <w:pPr>
              <w:spacing w:after="0" w:before="0" w:line="276" w:lineRule="auto"/>
            </w:pPr>
            <w:r>
              <w:rPr>
                <w:sz w:val="16"/>
                <w:szCs w:val="16"/>
              </w:rPr>
              <w:t xml:space="preserve">Aplicaciones y sistemas</w:t>
            </w:r>
          </w:p>
        </w:tc>
        <w:tc>
          <w:tcPr>
            <w:tcW w:type="dxa" w:w="1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Aplicaciones y sistemas</w:t>
            </w:r>
          </w:p>
        </w:tc>
        <w:tc>
          <w:tcPr>
            <w:tcW w:type="dxa" w:w="1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1700"/>
            <w:tcMar>
              <w:top w:type="dxa" w:w="70"/>
              <w:left w:type="dxa" w:w="110"/>
              <w:bottom w:type="dxa" w:w="70"/>
              <w:right w:type="dxa" w:w="110"/>
            </w:tcMar>
            <w:vAlign w:val="center"/>
          </w:tcPr>
          <w:p>
            <w:pPr>
              <w:spacing w:after="0" w:before="0" w:line="276" w:lineRule="auto"/>
            </w:pPr>
            <w:r>
              <w:rPr>
                <w:sz w:val="16"/>
                <w:szCs w:val="16"/>
              </w:rPr>
              <w:t xml:space="preserve">Datos y registros vitales (ubicación, formato, respaldo)</w:t>
            </w:r>
          </w:p>
        </w:tc>
        <w:tc>
          <w:tcPr>
            <w:tcW w:type="dxa" w:w="1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Datos y registros vitales (ubicación, formato, respaldo)</w:t>
            </w:r>
          </w:p>
        </w:tc>
        <w:tc>
          <w:tcPr>
            <w:tcW w:type="dxa" w:w="1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1700"/>
            <w:tcMar>
              <w:top w:type="dxa" w:w="70"/>
              <w:left w:type="dxa" w:w="110"/>
              <w:bottom w:type="dxa" w:w="70"/>
              <w:right w:type="dxa" w:w="110"/>
            </w:tcMar>
            <w:vAlign w:val="center"/>
          </w:tcPr>
          <w:p>
            <w:pPr>
              <w:spacing w:after="0" w:before="0" w:line="276" w:lineRule="auto"/>
            </w:pPr>
            <w:r>
              <w:rPr>
                <w:sz w:val="16"/>
                <w:szCs w:val="16"/>
              </w:rPr>
              <w:t xml:space="preserve">Proveedores y terceros (servicio y nivel comprometido)</w:t>
            </w:r>
          </w:p>
        </w:tc>
        <w:tc>
          <w:tcPr>
            <w:tcW w:type="dxa" w:w="1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Proveedores y terceros (servicio y nivel comprometido)</w:t>
            </w:r>
          </w:p>
        </w:tc>
        <w:tc>
          <w:tcPr>
            <w:tcW w:type="dxa" w:w="1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1700"/>
            <w:tcMar>
              <w:top w:type="dxa" w:w="70"/>
              <w:left w:type="dxa" w:w="110"/>
              <w:bottom w:type="dxa" w:w="70"/>
              <w:right w:type="dxa" w:w="110"/>
            </w:tcMar>
            <w:vAlign w:val="center"/>
          </w:tcPr>
          <w:p>
            <w:pPr>
              <w:spacing w:after="0" w:before="0" w:line="276" w:lineRule="auto"/>
            </w:pPr>
            <w:r>
              <w:rPr>
                <w:sz w:val="16"/>
                <w:szCs w:val="16"/>
              </w:rPr>
              <w:t xml:space="preserve">Instalaciones</w:t>
            </w:r>
          </w:p>
        </w:tc>
        <w:tc>
          <w:tcPr>
            <w:tcW w:type="dxa" w:w="1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Equipamiento y servicios básicos (energía, clima, red, agua)</w:t>
            </w:r>
          </w:p>
        </w:tc>
        <w:tc>
          <w:tcPr>
            <w:tcW w:type="dxa" w:w="1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1700"/>
            <w:tcMar>
              <w:top w:type="dxa" w:w="70"/>
              <w:left w:type="dxa" w:w="110"/>
              <w:bottom w:type="dxa" w:w="70"/>
              <w:right w:type="dxa" w:w="110"/>
            </w:tcMar>
            <w:vAlign w:val="center"/>
          </w:tcPr>
          <w:p>
            <w:pPr>
              <w:spacing w:after="0" w:before="0" w:line="276" w:lineRule="auto"/>
            </w:pPr>
            <w:r>
              <w:rPr>
                <w:sz w:val="16"/>
                <w:szCs w:val="16"/>
              </w:rPr>
              <w:t xml:space="preserve">Equipamiento y servicios básicos (energía, clima, red, agua)</w:t>
            </w:r>
          </w:p>
        </w:tc>
        <w:tc>
          <w:tcPr>
            <w:tcW w:type="dxa" w:w="1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tcMar>
              <w:top w:type="dxa" w:w="70"/>
              <w:left w:type="dxa" w:w="110"/>
              <w:bottom w:type="dxa" w:w="70"/>
              <w:right w:type="dxa" w:w="110"/>
            </w:tcMar>
            <w:vAlign w:val="center"/>
          </w:tcPr>
          <w:p>
            <w:pPr>
              <w:spacing w:after="0" w:before="0" w:line="276" w:lineRule="auto"/>
            </w:pPr>
            <w:r>
              <w:rPr>
                <w:sz w:val="16"/>
                <w:szCs w:val="16"/>
              </w:rPr>
              <w:t xml:space="preserve"/>
            </w:r>
          </w:p>
        </w:tc>
      </w:tr>
    </w:tbl>
    <w:p>
      <w:pPr>
        <w:spacing w:after="120" w:before="40" w:line="276" w:lineRule="auto"/>
      </w:pPr>
      <w:r>
        <w:t xml:space="preserve">Una fila por dependencia, con al menos una por clase: las filas pre-formateadas son orientación de volumen y no un cupo.</w:t>
      </w:r>
    </w:p>
    <w:p>
      <w:pPr>
        <w:spacing w:after="120" w:before="40" w:line="276" w:lineRule="auto"/>
      </w:pPr>
      <w:r>
        <w:rPr>
          <w:color w:val="595959"/>
          <w:sz w:val="19"/>
          <w:szCs w:val="19"/>
        </w:rPr>
        <w:t xml:space="preserve">Una persona que es la única que conoce el procedimiento, un proveedor sin sustituto, un enlace sin respaldo o un servidor sin réplica son puntos únicos de falla, y suelen ser el hallazgo más barato de corregir y el más caro de ignorar.</w:t>
      </w:r>
    </w:p>
    <w:p>
      <w:pPr>
        <w:spacing w:after="140"/>
      </w:pPr>
    </w:p>
    <w:p>
      <w:pPr>
        <w:pStyle w:val="Heading1"/>
      </w:pPr>
      <w:r>
        <w:t xml:space="preserve">4. Recursos mínimos de recuperación consolidados</w:t>
      </w:r>
    </w:p>
    <w:p>
      <w:pPr>
        <w:spacing w:after="120" w:before="40" w:line="276" w:lineRule="auto"/>
      </w:pPr>
      <w:r>
        <w:t xml:space="preserve">Cuantificar lo que la recuperación exige para sostener el nivel del MBCO, no la operación normal. Esta tabla es la que dimensiona el sitio alterno y el presupuesto de contingencia.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536"/>
      </w:tblGrid>
      <w:tr>
        <w:trPr>
          <w:tblHeader/>
        </w:trPr>
        <w:tc>
          <w:tcPr>
            <w:tcW w:type="dxa" w:w="2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Recurso</w:t>
            </w:r>
          </w:p>
        </w:tc>
        <w:tc>
          <w:tcPr>
            <w:tcW w:type="dxa" w:w="2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Requerimiento en operación normal</w:t>
            </w:r>
          </w:p>
        </w:tc>
        <w:tc>
          <w:tcPr>
            <w:tcW w:type="dxa" w:w="2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Requerimiento mínimo en MBCO</w:t>
            </w:r>
          </w:p>
        </w:tc>
        <w:tc>
          <w:tcPr>
            <w:tcW w:type="dxa" w:w="2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Dónde se obtiene durante la contingencia</w:t>
            </w:r>
          </w:p>
        </w:tc>
      </w:tr>
      <w:tr>
        <w:trPr>
          <w:cantSplit/>
        </w:trPr>
        <w:tc>
          <w:tcPr>
            <w:tcW w:type="dxa" w:w="2400"/>
            <w:tcMar>
              <w:top w:type="dxa" w:w="70"/>
              <w:left w:type="dxa" w:w="110"/>
              <w:bottom w:type="dxa" w:w="70"/>
              <w:right w:type="dxa" w:w="110"/>
            </w:tcMar>
            <w:vAlign w:val="center"/>
          </w:tcPr>
          <w:p>
            <w:pPr>
              <w:spacing w:after="0" w:before="0" w:line="276" w:lineRule="auto"/>
            </w:pPr>
            <w:r>
              <w:rPr>
                <w:sz w:val="18"/>
                <w:szCs w:val="18"/>
              </w:rPr>
              <w:t xml:space="preserve">Personas (número y perfil)</w:t>
            </w:r>
          </w:p>
        </w:tc>
        <w:tc>
          <w:tcPr>
            <w:tcW w:type="dxa" w:w="2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Estaciones de trabajo y dispositivos</w:t>
            </w:r>
          </w:p>
        </w:tc>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tcMar>
              <w:top w:type="dxa" w:w="70"/>
              <w:left w:type="dxa" w:w="110"/>
              <w:bottom w:type="dxa" w:w="70"/>
              <w:right w:type="dxa" w:w="110"/>
            </w:tcMar>
            <w:vAlign w:val="center"/>
          </w:tcPr>
          <w:p>
            <w:pPr>
              <w:spacing w:after="0" w:before="0" w:line="276" w:lineRule="auto"/>
            </w:pPr>
            <w:r>
              <w:rPr>
                <w:sz w:val="18"/>
                <w:szCs w:val="18"/>
              </w:rPr>
              <w:t xml:space="preserve">Capacidad de red y conectividad</w:t>
            </w:r>
          </w:p>
        </w:tc>
        <w:tc>
          <w:tcPr>
            <w:tcW w:type="dxa" w:w="2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Instalación física</w:t>
            </w:r>
          </w:p>
        </w:tc>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tcMar>
              <w:top w:type="dxa" w:w="70"/>
              <w:left w:type="dxa" w:w="110"/>
              <w:bottom w:type="dxa" w:w="70"/>
              <w:right w:type="dxa" w:w="110"/>
            </w:tcMar>
            <w:vAlign w:val="center"/>
          </w:tcPr>
          <w:p>
            <w:pPr>
              <w:spacing w:after="0" w:before="0" w:line="276" w:lineRule="auto"/>
            </w:pPr>
            <w:r>
              <w:rPr>
                <w:sz w:val="18"/>
                <w:szCs w:val="18"/>
              </w:rPr>
              <w:t xml:space="preserve">Aplicaciones y datos disponibles</w:t>
            </w:r>
          </w:p>
        </w:tc>
        <w:tc>
          <w:tcPr>
            <w:tcW w:type="dxa" w:w="2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Insumos y equipamiento especializado</w:t>
            </w:r>
          </w:p>
        </w:tc>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pPr>
    </w:p>
    <w:p>
      <w:pPr>
        <w:pStyle w:val="Heading1"/>
      </w:pPr>
      <w:r>
        <w:t xml:space="preserve">5. Interdependencias entre procesos</w:t>
      </w:r>
    </w:p>
    <w:p>
      <w:pPr>
        <w:spacing w:after="120" w:before="40" w:line="276" w:lineRule="auto"/>
      </w:pPr>
      <w:r>
        <w:t xml:space="preserve">Los procesos también dependen unos de otros, y esa red condiciona el orden de recuperación. Si la facturación necesita los datos de la admisión, recuperar la facturación primero no produce ningún servicio. Un proceso de criticidad media que alimenta a tres procesos críticos hereda la urgencia de aquellos a los que sostiene.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000"/>
        <w:gridCol w:w="1900"/>
        <w:gridCol w:w="2136"/>
      </w:tblGrid>
      <w:tr>
        <w:trPr>
          <w:tblHeader/>
        </w:trPr>
        <w:tc>
          <w:tcPr>
            <w:tcW w:type="dxa" w:w="2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Procesos que alimentan a este</w:t>
            </w:r>
          </w:p>
        </w:tc>
        <w:tc>
          <w:tcPr>
            <w:tcW w:type="dxa" w:w="1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Qué le entregan</w:t>
            </w:r>
          </w:p>
        </w:tc>
        <w:tc>
          <w:tcPr>
            <w:tcW w:type="dxa" w:w="2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Procesos que se alimentan de este</w:t>
            </w:r>
          </w:p>
        </w:tc>
        <w:tc>
          <w:tcPr>
            <w:tcW w:type="dxa" w:w="1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Qué reciben</w:t>
            </w:r>
          </w:p>
        </w:tc>
        <w:tc>
          <w:tcPr>
            <w:tcW w:type="dxa" w:w="21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Consecuencia sobre el orden de recuperación</w:t>
            </w:r>
          </w:p>
        </w:tc>
      </w:tr>
      <w:tr>
        <w:trPr>
          <w:cantSplit/>
        </w:trPr>
        <w:tc>
          <w:tcPr>
            <w:tcW w:type="dxa" w:w="20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0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1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0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1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0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0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1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0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1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0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0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1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0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9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1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bl>
    <w:p>
      <w:pPr>
        <w:spacing w:after="120"/>
      </w:pPr>
    </w:p>
    <w:p>
      <w:pPr>
        <w:pStyle w:val="Heading1"/>
      </w:pPr>
      <w:r>
        <w:t xml:space="preserve">6. Secuencia de recuperación propuesta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200"/>
        <w:gridCol w:w="2536"/>
      </w:tblGrid>
      <w:tr>
        <w:trPr>
          <w:tblHeader/>
        </w:trPr>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Orden</w:t>
            </w:r>
          </w:p>
        </w:tc>
        <w:tc>
          <w:tcPr>
            <w:tcW w:type="dxa" w:w="2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w:t>
            </w:r>
          </w:p>
        </w:tc>
        <w:tc>
          <w:tcPr>
            <w:tcW w:type="dxa" w:w="4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Por qué va en esa posición</w:t>
            </w:r>
          </w:p>
        </w:tc>
        <w:tc>
          <w:tcPr>
            <w:tcW w:type="dxa" w:w="2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Depende de que antes se recupere</w:t>
            </w:r>
          </w:p>
        </w:tc>
      </w:tr>
      <w:tr>
        <w:trPr>
          <w:cantSplit/>
        </w:trPr>
        <w:tc>
          <w:tcPr>
            <w:tcW w:type="dxa" w:w="8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8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2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8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8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2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8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8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42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pStyle w:val="Heading1"/>
      </w:pPr>
      <w:r>
        <w:t xml:space="preserve">7. Glosario de los campos de esta plantilla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7336"/>
      </w:tblGrid>
      <w:tr>
        <w:trPr>
          <w:tblHeader/>
        </w:trPr>
        <w:tc>
          <w:tcPr>
            <w:tcW w:type="dxa" w:w="2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Término</w:t>
            </w:r>
          </w:p>
        </w:tc>
        <w:tc>
          <w:tcPr>
            <w:tcW w:type="dxa" w:w="7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Definición</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Dependencia</w:t>
            </w:r>
          </w:p>
        </w:tc>
        <w:tc>
          <w:tcPr>
            <w:tcW w:type="dxa" w:w="7336"/>
            <w:tcMar>
              <w:top w:type="dxa" w:w="70"/>
              <w:left w:type="dxa" w:w="110"/>
              <w:bottom w:type="dxa" w:w="70"/>
              <w:right w:type="dxa" w:w="110"/>
            </w:tcMar>
            <w:vAlign w:val="center"/>
          </w:tcPr>
          <w:p>
            <w:pPr>
              <w:spacing w:after="0" w:before="0" w:line="276" w:lineRule="auto"/>
            </w:pPr>
            <w:r>
              <w:rPr>
                <w:sz w:val="18"/>
                <w:szCs w:val="18"/>
              </w:rPr>
              <w:t xml:space="preserve">Recurso externo al proceso sin el cual este no puede ejecutarse. El análisis levanta seis clases.</w:t>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Recurso mínimo de recuperación</w:t>
            </w:r>
          </w:p>
        </w:tc>
        <w:tc>
          <w:tcPr>
            <w:tcW w:type="dxa" w:w="7336"/>
            <w:shd w:fill="F2F7FB" w:val="clear"/>
            <w:tcMar>
              <w:top w:type="dxa" w:w="70"/>
              <w:left w:type="dxa" w:w="110"/>
              <w:bottom w:type="dxa" w:w="70"/>
              <w:right w:type="dxa" w:w="110"/>
            </w:tcMar>
            <w:vAlign w:val="center"/>
          </w:tcPr>
          <w:p>
            <w:pPr>
              <w:spacing w:after="0" w:before="0" w:line="276" w:lineRule="auto"/>
            </w:pPr>
            <w:r>
              <w:rPr>
                <w:sz w:val="18"/>
                <w:szCs w:val="18"/>
              </w:rPr>
              <w:t xml:space="preserve">Cantidad de cada recurso necesaria para operar en el nivel del MBCO durante la contingencia.</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SPOF — punto único de falla</w:t>
            </w:r>
          </w:p>
        </w:tc>
        <w:tc>
          <w:tcPr>
            <w:tcW w:type="dxa" w:w="7336"/>
            <w:tcMar>
              <w:top w:type="dxa" w:w="70"/>
              <w:left w:type="dxa" w:w="110"/>
              <w:bottom w:type="dxa" w:w="70"/>
              <w:right w:type="dxa" w:w="110"/>
            </w:tcMar>
            <w:vAlign w:val="center"/>
          </w:tcPr>
          <w:p>
            <w:pPr>
              <w:spacing w:after="0" w:before="0" w:line="276" w:lineRule="auto"/>
            </w:pPr>
            <w:r>
              <w:rPr>
                <w:sz w:val="18"/>
                <w:szCs w:val="18"/>
              </w:rPr>
              <w:t xml:space="preserve">Dependencia sin alternativa cuya indisponibilidad detiene el proceso por completo.</w:t>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Interdependencia</w:t>
            </w:r>
          </w:p>
        </w:tc>
        <w:tc>
          <w:tcPr>
            <w:tcW w:type="dxa" w:w="7336"/>
            <w:shd w:fill="F2F7FB" w:val="clear"/>
            <w:tcMar>
              <w:top w:type="dxa" w:w="70"/>
              <w:left w:type="dxa" w:w="110"/>
              <w:bottom w:type="dxa" w:w="70"/>
              <w:right w:type="dxa" w:w="110"/>
            </w:tcMar>
            <w:vAlign w:val="center"/>
          </w:tcPr>
          <w:p>
            <w:pPr>
              <w:spacing w:after="0" w:before="0" w:line="276" w:lineRule="auto"/>
            </w:pPr>
            <w:r>
              <w:rPr>
                <w:sz w:val="18"/>
                <w:szCs w:val="18"/>
              </w:rPr>
              <w:t xml:space="preserve">Relación entre procesos por la que uno entrega a otro una entrada necesaria.</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Asignación BIA (Semana 2, v6,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2026-09-26T23:15:14.074Z</dcterms:created>
  <dcterms:modified xsi:type="dcterms:W3CDTF">2026-09-26T23:15:14.074Z</dcterms:modified>
</cp:coreProperties>
</file>

<file path=docProps/custom.xml><?xml version="1.0" encoding="utf-8"?>
<Properties xmlns="http://schemas.openxmlformats.org/officeDocument/2006/custom-properties" xmlns:vt="http://schemas.openxmlformats.org/officeDocument/2006/docPropsVTypes"/>
</file>