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20"/>
      </w:pPr>
    </w:p>
    <w:p>
      <w:pPr>
        <w:spacing w:after="26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46"/>
          <w:szCs w:val="46"/>
        </w:rPr>
        <w:t xml:space="preserve">C I B E R S E G U R I D A D</w:t>
      </w:r>
    </w:p>
    <w:p>
      <w:pPr>
        <w:spacing w:after="60"/>
        <w:jc w:val="center"/>
      </w:pPr>
      <w:r>
        <w:rPr>
          <w:b/>
          <w:bCs/>
          <w:color w:val="2E5395"/>
          <w:sz w:val="34"/>
          <w:szCs w:val="34"/>
        </w:rPr>
        <w:t xml:space="preserve">Matriz de criticidad y priorización</w:t>
      </w:r>
    </w:p>
    <w:p>
      <w:pPr>
        <w:spacing w:after="240"/>
        <w:jc w:val="center"/>
      </w:pPr>
      <w:r>
        <w:rPr>
          <w:color w:val="262626"/>
          <w:sz w:val="24"/>
          <w:szCs w:val="24"/>
        </w:rPr>
        <w:t xml:space="preserve">Un puntaje explícito y reproducible en lugar de una discusión</w:t>
      </w:r>
    </w:p>
    <w:p>
      <w:pPr>
        <w:spacing w:after="120" w:before="40" w:line="276" w:lineRule="auto"/>
        <w:jc w:val="center"/>
      </w:pPr>
      <w:r>
        <w:rPr>
          <w:color w:val="595959"/>
          <w:sz w:val="20"/>
          <w:szCs w:val="20"/>
        </w:rPr>
        <w:t xml:space="preserve">Análisis de Impacto en el Negocio · Plantilla 05 de 07</w:t>
      </w:r>
    </w:p>
    <w:p>
      <w:pPr>
        <w:spacing w:after="120" w:before="40" w:line="276" w:lineRule="auto"/>
        <w:jc w:val="center"/>
      </w:pPr>
      <w:r>
        <w:rPr>
          <w:color w:val="595959"/>
          <w:sz w:val="19"/>
          <w:szCs w:val="19"/>
        </w:rPr>
        <w:t xml:space="preserve">ISO 22301:2019 · ISO/TS 22317:2021 · NIST SP 800-34 Rev. 1</w:t>
      </w:r>
    </w:p>
    <w:p>
      <w:pPr>
        <w:spacing w:after="160"/>
      </w:pPr>
    </w:p>
    <w:p>
      <w:pPr>
        <w:spacing w:after="120" w:before="40" w:line="276" w:lineRule="auto"/>
        <w:jc w:val="center"/>
      </w:pPr>
      <w:r>
        <w:rPr>
          <w:b/>
          <w:bCs/>
          <w:sz w:val="22"/>
          <w:szCs w:val="22"/>
        </w:rPr>
        <w:t xml:space="preserve">Docente:</w:t>
      </w:r>
      <w:r>
        <w:rPr>
          <w:sz w:val="22"/>
          <w:szCs w:val="22"/>
        </w:rPr>
        <w:t xml:space="preserve"> Ing. Héctor Cuchilla</w:t>
      </w:r>
    </w:p>
    <w:p>
      <w:pPr>
        <w:spacing w:after="120" w:before="40" w:line="276" w:lineRule="auto"/>
        <w:jc w:val="center"/>
      </w:pPr>
      <w:r>
        <w:rPr>
          <w:color w:val="595959"/>
          <w:sz w:val="20"/>
          <w:szCs w:val="20"/>
        </w:rPr>
        <w:t xml:space="preserve">ESEN – CIBERSEGURIDAD – CICLO 03 – 2026</w:t>
      </w:r>
    </w:p>
    <w:p>
      <w:r>
        <w:br w:type="page"/>
      </w:r>
    </w:p>
    <w:p>
      <w:pPr>
        <w:spacing w:after="160" w:before="40" w:line="276" w:lineRule="auto"/>
      </w:pPr>
      <w:r>
        <w:rPr>
          <w:b/>
          <w:bCs/>
          <w:color w:val="1F3864"/>
          <w:sz w:val="26"/>
          <w:szCs w:val="26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Identificación del trabajo</w:t>
      </w:r>
    </w:p>
    <w:p>
      <w:pPr>
        <w:spacing w:after="120" w:before="40" w:line="276" w:lineRule="auto"/>
      </w:pPr>
      <w:r>
        <w:t xml:space="preserve">Esta plantilla se llena por equipo y sobre la empresa que el equipo tiene asignada en el catálogo del Proyecto Final. El caso resuelto que la Guía del Estudiante desarrolla usa la Red Hospitalaria Metropolitana; cada equipo aplica el mismo método a su propia empresa.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536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36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>Empresa del catálogo del Proyecto Final</w:t>
            </w:r>
          </w:p>
        </w:tc>
        <w:tc>
          <w:tcPr>
            <w:tcW w:type="dxa" w:w="65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>Sector y tamaño declarados en el perfil</w:t>
            </w:r>
          </w:p>
        </w:tc>
        <w:tc>
          <w:tcPr>
            <w:tcW w:type="dxa" w:w="65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>Equipo (número y nombre)</w:t>
            </w:r>
          </w:p>
        </w:tc>
        <w:tc>
          <w:tcPr>
            <w:tcW w:type="dxa" w:w="65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>Integrantes</w:t>
            </w:r>
          </w:p>
        </w:tc>
        <w:tc>
          <w:tcPr>
            <w:tcW w:type="dxa" w:w="65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>Analista responsable de esta plantilla</w:t>
            </w:r>
          </w:p>
        </w:tc>
        <w:tc>
          <w:tcPr>
            <w:tcW w:type="dxa" w:w="65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>Fecha de elaboración</w:t>
            </w:r>
          </w:p>
        </w:tc>
        <w:tc>
          <w:tcPr>
            <w:tcW w:type="dxa" w:w="65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>Versión del documento</w:t>
            </w:r>
          </w:p>
        </w:tc>
        <w:tc>
          <w:tcPr>
            <w:tcW w:type="dxa" w:w="65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Cómo se llena</w:t>
      </w:r>
    </w:p>
    <w:p>
      <w:pPr>
        <w:spacing w:after="120" w:before="40" w:line="276" w:lineRule="auto"/>
      </w:pPr>
      <w:r>
        <w:t xml:space="preserve">La priorización se resuelve con un puntaje explícito. Cada proceso recibe una calificación en cada categoría de impacto, evaluada en el mismo corte para todos los procesos; cada categoría lleva un peso acordado con la dirección; y el puntaje de criticidad es la suma ponderada, ajustada por el número de procesos que dependen de él. Que el método sea explícito importa más que su sofisticación: hace la decisión auditable y permite que otro analista, con los mismos datos, llegue al mismo resultado.</w:t>
      </w:r>
    </w:p>
    <w:p>
      <w:pPr>
        <w:spacing w:after="120" w:before="40" w:line="276" w:lineRule="auto"/>
      </w:pPr>
      <w:r>
        <w:t xml:space="preserve">Convención del proyecto: todos los procesos del censo se precalifican en el corte de 24 horas con las consecuencias que la ficha de datos del cliente trae para ese corte; los que resultan críticos llevan ficha BIA_P02, matriz BIA_P03 y mapa BIA_P04, y sus calificaciones de BIA_P03 sustituyen a las provisionales. El corte del MTPD más corto sesga el resultado contra los procesos que toleran horas y no días; el equipo que adopta otra regla —cada proceso en el corte de su propio MTPD— la justifica en la línea «Corte de tiempo». Puntaje final = suma ponderada × (1 + 0,10 × número de procesos dependientes), redondeado a dos decimales con la mitad hacia arriba: 4,35 con un dependiente da 4,35 × 1,10 = 4,785, que se registra como 4,79.</w:t>
      </w:r>
    </w:p>
    <w:p>
      <w:pPr>
        <w:spacing w:after="100"/>
      </w:pPr>
    </w:p>
    <w:p>
      <w:pPr>
        <w:pStyle w:val="Heading1"/>
      </w:pPr>
      <w:r>
        <w:t xml:space="preserve">3. Pesos acordados con la dirección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400"/>
        <w:gridCol w:w="2536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Categoría de impacto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Peso asignado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Fundamento del peso</w:t>
            </w:r>
          </w:p>
        </w:tc>
        <w:tc>
          <w:tcPr>
            <w:tcW w:type="dxa" w:w="2536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Aprobado por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Financiero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Operativo</w:t>
            </w:r>
          </w:p>
        </w:tc>
        <w:tc>
          <w:tcPr>
            <w:tcW w:type="dxa" w:w="1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Legal y regulatorio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Reputacional</w:t>
            </w:r>
          </w:p>
        </w:tc>
        <w:tc>
          <w:tcPr>
            <w:tcW w:type="dxa" w:w="1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Seguridad de las personas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sz w:val="18"/>
                <w:szCs w:val="18"/>
              </w:rPr>
              <w:t xml:space="preserve">Suma de los pesos (debe totalizar 100 %)</w:t>
            </w:r>
          </w:p>
        </w:tc>
        <w:tc>
          <w:tcPr>
            <w:tcW w:type="dxa" w:w="1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40" w:line="276" w:lineRule="auto"/>
      </w:pPr>
      <w:r>
        <w:rPr>
          <w:b/>
          <w:bCs/>
        </w:rPr>
        <w:t xml:space="preserve">Corte de tiempo en que se evalúan las calificaciones (convención: 24 horas; otra regla, con su justificación):</w:t>
      </w:r>
      <w:r>
        <w:t xml:space="preserve"> ______________________   </w:t>
      </w:r>
      <w:r>
        <w:rPr>
          <w:b/>
          <w:bCs/>
        </w:rPr>
        <w:t xml:space="preserve">Ajuste por dependientes aplicado (suma ponderada × (1 + 0,10 × n), dos decimales):</w:t>
      </w:r>
      <w:r>
        <w:t xml:space="preserve"> ______________________</w:t>
      </w:r>
    </w:p>
    <w:p>
      <w:pPr>
        <w:spacing w:after="120"/>
      </w:pPr>
    </w:p>
    <w:p>
      <w:pPr>
        <w:pStyle w:val="Heading1"/>
      </w:pPr>
      <w:r>
        <w:t xml:space="preserve">4. Matriz de criticidad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50"/>
        <w:gridCol w:w="850"/>
        <w:gridCol w:w="850"/>
        <w:gridCol w:w="850"/>
        <w:gridCol w:w="950"/>
        <w:gridCol w:w="950"/>
        <w:gridCol w:w="850"/>
        <w:gridCol w:w="900"/>
        <w:gridCol w:w="986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Proceso</w:t>
            </w:r>
          </w:p>
        </w:tc>
        <w:tc>
          <w:tcPr>
            <w:tcW w:type="dxa" w:w="85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Fin.</w:t>
            </w:r>
          </w:p>
        </w:tc>
        <w:tc>
          <w:tcPr>
            <w:tcW w:type="dxa" w:w="85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Oper.</w:t>
            </w:r>
          </w:p>
        </w:tc>
        <w:tc>
          <w:tcPr>
            <w:tcW w:type="dxa" w:w="85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Legal</w:t>
            </w:r>
          </w:p>
        </w:tc>
        <w:tc>
          <w:tcPr>
            <w:tcW w:type="dxa" w:w="85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Reput.</w:t>
            </w:r>
          </w:p>
        </w:tc>
        <w:tc>
          <w:tcPr>
            <w:tcW w:type="dxa" w:w="95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Personas</w:t>
            </w:r>
          </w:p>
        </w:tc>
        <w:tc>
          <w:tcPr>
            <w:tcW w:type="dxa" w:w="95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Suma ponderada</w:t>
            </w:r>
          </w:p>
        </w:tc>
        <w:tc>
          <w:tcPr>
            <w:tcW w:type="dxa" w:w="85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Procesos dependientes</w:t>
            </w:r>
          </w:p>
        </w:tc>
        <w:tc>
          <w:tcPr>
            <w:tcW w:type="dxa" w:w="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Puntaje final</w:t>
            </w:r>
          </w:p>
        </w:tc>
        <w:tc>
          <w:tcPr>
            <w:tcW w:type="dxa" w:w="986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Clase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8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8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8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8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8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8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8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8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8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8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8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8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8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8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5"/>
                <w:szCs w:val="15"/>
              </w:rPr>
              <w:t xml:space="preserve"/>
            </w:r>
          </w:p>
        </w:tc>
      </w:tr>
    </w:tbl>
    <w:p>
      <w:pPr>
        <w:spacing w:after="120" w:before="40" w:line="276" w:lineRule="auto"/>
      </w:pPr>
      <w:r>
        <w:rPr>
          <w:color w:val="595959"/>
          <w:sz w:val="19"/>
          <w:szCs w:val="19"/>
        </w:rPr>
        <w:t xml:space="preserve">Clase: crítico, importante o diferible, según los cortes de puntaje que el equipo declare en la sección 5.</w:t>
      </w:r>
    </w:p>
    <w:p>
      <w:pPr>
        <w:spacing w:after="140"/>
      </w:pPr>
    </w:p>
    <w:p>
      <w:pPr>
        <w:pStyle w:val="Heading1"/>
      </w:pPr>
      <w:r>
        <w:t xml:space="preserve">5. Reglas de clasificación declaradas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936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Rango de puntaje</w:t>
            </w:r>
          </w:p>
        </w:tc>
        <w:tc>
          <w:tcPr>
            <w:tcW w:type="dxa" w:w="5936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implica para la planificación de continuidad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9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Importante</w:t>
            </w:r>
          </w:p>
        </w:tc>
        <w:tc>
          <w:tcPr>
            <w:tcW w:type="dxa" w:w="22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9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Diferible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9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Lista priorizada de procesos</w:t>
      </w:r>
    </w:p>
    <w:p>
      <w:pPr>
        <w:spacing w:after="120" w:before="40" w:line="276" w:lineRule="auto"/>
      </w:pPr>
      <w:r>
        <w:t xml:space="preserve">El resultado del análisis de impacto es una lista única y ordenada. Esta tabla es una de las dos salidas propias del BIA; la otra es el costo de la interrupción por unidad de tiempo.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100"/>
        <w:gridCol w:w="1400"/>
        <w:gridCol w:w="1000"/>
        <w:gridCol w:w="1000"/>
        <w:gridCol w:w="1000"/>
        <w:gridCol w:w="1136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Orden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Proceso</w:t>
            </w:r>
          </w:p>
        </w:tc>
        <w:tc>
          <w:tcPr>
            <w:tcW w:type="dxa" w:w="11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Puntaje final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1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MTPD</w:t>
            </w:r>
          </w:p>
        </w:tc>
        <w:tc>
          <w:tcPr>
            <w:tcW w:type="dxa" w:w="1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RTO</w:t>
            </w:r>
          </w:p>
        </w:tc>
        <w:tc>
          <w:tcPr>
            <w:tcW w:type="dxa" w:w="1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WRT</w:t>
            </w:r>
          </w:p>
        </w:tc>
        <w:tc>
          <w:tcPr>
            <w:tcW w:type="dxa" w:w="1136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RPO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Enganche con los marcos del curso</w:t>
      </w:r>
    </w:p>
    <w:p>
      <w:pPr>
        <w:spacing w:after="120" w:before="40" w:line="276" w:lineRule="auto"/>
      </w:pPr>
      <w:r>
        <w:t xml:space="preserve">Los resultados de esta matriz alimentan la función de identificar de NIST CSF 2.0 con la priorización de activos y procesos, la función de recuperar con los objetivos de tiempo, y la función de gobernar con el apetito de riesgo declarado por la dirección. En los controles CIS v8.1, el inventario de dependencias sostiene los controles de inventario de activos empresariales y de software, y la protección de los datos y registros vitales sostiene el control de recuperación de datos.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336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del BIA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 de NIST CSF 2.0 que alimenta</w:t>
            </w:r>
          </w:p>
        </w:tc>
        <w:tc>
          <w:tcPr>
            <w:tcW w:type="dxa" w:w="3336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 CIS v8.1 que sostiene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Lista priorizada de procesos y activos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Objetivos de tiempo (MTPD, RTO, WRT, RPO)</w:t>
            </w:r>
          </w:p>
        </w:tc>
        <w:tc>
          <w:tcPr>
            <w:tcW w:type="dxa" w:w="3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Inventario de dependencias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Datos y registros vitales</w:t>
            </w:r>
          </w:p>
        </w:tc>
        <w:tc>
          <w:tcPr>
            <w:tcW w:type="dxa" w:w="34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40" w:line="276" w:lineRule="auto"/>
      </w:pPr>
      <w:r>
        <w:t xml:space="preserve">Dentro del Proyecto Final, esta priorización sustenta el orden de implantación de las salvaguardas del IG asignado dentro del roadmap de E.10.</w:t>
      </w:r>
    </w:p>
    <w:p>
      <w:pPr>
        <w:pStyle w:val="Heading1"/>
      </w:pPr>
      <w:r>
        <w:t xml:space="preserve">8. Glosario de los campos de esta plantilla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36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7336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Puntaje de criticidad</w:t>
            </w:r>
          </w:p>
        </w:tc>
        <w:tc>
          <w:tcPr>
            <w:tcW w:type="dxa" w:w="73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Suma ponderada de las calificaciones de impacto de un proceso, ajustada por el número de procesos que dependen de él.</w:t>
            </w:r>
          </w:p>
        </w:tc>
      </w:tr>
      <w:tr>
        <w:trPr>
          <w:cantSplit/>
        </w:trPr>
        <w:tc>
          <w:tcPr>
            <w:tcW w:type="dxa" w:w="2600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Peso de la categoría</w:t>
            </w:r>
          </w:p>
        </w:tc>
        <w:tc>
          <w:tcPr>
            <w:tcW w:type="dxa" w:w="7336"/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Proporción con que cada categoría de impacto contribuye al puntaje, acordada con la dirección.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Grupo de implementación (IG)</w:t>
            </w:r>
          </w:p>
        </w:tc>
        <w:tc>
          <w:tcPr>
            <w:tcW w:type="dxa" w:w="73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sz w:val="18"/>
                <w:szCs w:val="18"/>
              </w:rPr>
              <w:t xml:space="preserve">Nivel de adopción de las salvaguardas CIS v8.1 que corresponde al perfil de riesgo de la organización.</w:t>
            </w:r>
          </w:p>
        </w:tc>
      </w:tr>
    </w:tbl>
    <w:sectPr>
      <w:footerReference w:type="default" r:id="rId7"/>
      <w:pgSz w:w="12240" w:h="15840" w:orient="portrait"/>
      <w:pgMar w:top="1000" w:right="1152" w:bottom="105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  <w:spacing w:before="60"/>
      <w:jc w:val="center"/>
    </w:pPr>
    <w:r>
      <w:rPr>
        <w:color w:val="595959"/>
        <w:sz w:val="16"/>
        <w:szCs w:val="16"/>
      </w:rPr>
      <w:t xml:space="preserve">ESEN – Ciberseguridad · Asignación BIA (Semana 2, v6, 2026) · HectorCuchilla@Protonmail.com   ·  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  <w:rPr>
        <w:color w:val="2E5395"/>
      </w:rPr>
    </w:lvl>
    <w:lvl w:ilvl="1" w15:tentative="1">
      <w:start w:val="1"/>
      <w:numFmt w:val="bullet"/>
      <w:lvlText w:val="–"/>
      <w:lvlJc w:val="left"/>
      <w:pPr>
        <w:ind w:left="7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5395" w:sz="8" w:space="2"/>
      </w:pBdr>
      <w:spacing w:after="15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17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a6c20397667e412b00d78d7702cd5f80d0c093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2026-09-26T23:15:14.115Z</dcterms:created>
  <dcterms:modified xsi:type="dcterms:W3CDTF">2026-09-26T23:15:14.115Z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