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2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Calibri" w:cs="Calibri" w:eastAsia="Calibri" w:hAnsi="Calibri"/>
          <w:b/>
          <w:bCs/>
          <w:color w:val="1F3864"/>
          <w:sz w:val="46"/>
          <w:szCs w:val="46"/>
        </w:rPr>
        <w:t xml:space="preserve">C I B E R S E G U R I D A D</w:t>
      </w:r>
    </w:p>
    <w:p>
      <w:pPr>
        <w:spacing w:after="60"/>
        <w:jc w:val="center"/>
      </w:pPr>
      <w:r>
        <w:rPr>
          <w:b/>
          <w:bCs/>
          <w:color w:val="2E5395"/>
          <w:sz w:val="34"/>
          <w:szCs w:val="34"/>
        </w:rPr>
        <w:t xml:space="preserve">Registro de supuestos, puntos únicos de falla y brechas</w:t>
      </w:r>
    </w:p>
    <w:p>
      <w:pPr>
        <w:spacing w:after="240"/>
        <w:jc w:val="center"/>
      </w:pPr>
      <w:r>
        <w:rPr>
          <w:color w:val="262626"/>
          <w:sz w:val="24"/>
          <w:szCs w:val="24"/>
        </w:rPr>
        <w:t xml:space="preserve">Donde vive la evidencia del rigor del análisis</w:t>
      </w:r>
    </w:p>
    <w:p>
      <w:pPr>
        <w:spacing w:after="120" w:before="40" w:line="276" w:lineRule="auto"/>
        <w:jc w:val="center"/>
      </w:pPr>
      <w:r>
        <w:rPr>
          <w:color w:val="595959"/>
          <w:sz w:val="20"/>
          <w:szCs w:val="20"/>
        </w:rPr>
        <w:t xml:space="preserve">Análisis de Impacto en el Negocio · Plantilla 06 de 07</w:t>
      </w:r>
    </w:p>
    <w:p>
      <w:pPr>
        <w:spacing w:after="120" w:before="40" w:line="276" w:lineRule="auto"/>
        <w:jc w:val="center"/>
      </w:pPr>
      <w:r>
        <w:rPr>
          <w:color w:val="595959"/>
          <w:sz w:val="19"/>
          <w:szCs w:val="19"/>
        </w:rPr>
        <w:t xml:space="preserve">ISO 22301:2019 · ISO/TS 22317:2021 · NIST SP 800-34 Rev. 1</w:t>
      </w:r>
    </w:p>
    <w:p>
      <w:pPr>
        <w:spacing w:after="16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Identificación del trabajo</w:t>
      </w:r>
    </w:p>
    <w:p>
      <w:pPr>
        <w:spacing w:after="120" w:before="40" w:line="276" w:lineRule="auto"/>
      </w:pPr>
      <w:r>
        <w:t xml:space="preserve">Esta plantilla se llena por equipo y sobre la empresa que el equipo tiene asignada en el catálogo del Proyecto Final. El caso resuelto que la Guía del Estudiante desarrolla usa la Red Hospitalaria Metropolitana; cada equipo aplica el mismo método a su propia empresa.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Empresa del catálogo del Proyecto Final</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Sector y tamaño declarados en el perfil</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Equipo (número y nombre)</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Analista responsable de esta plantilla</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Fecha de elaboración</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bl>
    <w:p>
      <w:pPr>
        <w:spacing w:after="120"/>
      </w:pPr>
    </w:p>
    <w:p>
      <w:pPr>
        <w:pStyle w:val="Heading1"/>
      </w:pPr>
      <w:r>
        <w:t xml:space="preserve">2. Cómo se llena</w:t>
      </w:r>
    </w:p>
    <w:p>
      <w:pPr>
        <w:spacing w:after="120" w:before="40" w:line="276" w:lineRule="auto"/>
      </w:pPr>
      <w:r>
        <w:t xml:space="preserve">Todo análisis de impacto descansa en estimaciones, y una conclusión que solo se sostiene con la estimación más optimista no es una conclusión. Cada supuesto se declara con su origen y su fecha, se varía en tres escenarios y se observa cuánto se mueve el resultado. Si la recomendación se mantiene en los tres escenarios, es robusta y se presenta como tal; si cambia de signo al variar un solo supuesto, la recomendación depende de ese supuesto y el informe ejecutivo debe decirlo con esas palabras.</w:t>
      </w:r>
    </w:p>
    <w:p>
      <w:pPr>
        <w:spacing w:after="100"/>
      </w:pPr>
    </w:p>
    <w:p>
      <w:pPr>
        <w:pStyle w:val="Heading1"/>
      </w:pPr>
      <w:r>
        <w:t xml:space="preserve">3. Registro de supuestos y análisis de sensibilidad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000"/>
        <w:gridCol w:w="1800"/>
        <w:gridCol w:w="900"/>
        <w:gridCol w:w="900"/>
        <w:gridCol w:w="900"/>
        <w:gridCol w:w="1936"/>
      </w:tblGrid>
      <w:tr>
        <w:trPr>
          <w:tblHeader/>
        </w:trPr>
        <w:tc>
          <w:tcPr>
            <w:tcW w:type="dxa" w:w="5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ID (S-nn, global)</w:t>
            </w:r>
          </w:p>
        </w:tc>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Supuesto declarado</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Valor usado</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Origen y fecha de la fuente</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Mínimo</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Esperado</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Máximo</w:t>
            </w:r>
          </w:p>
        </w:tc>
        <w:tc>
          <w:tcPr>
            <w:tcW w:type="dxa" w:w="1936"/>
            <w:shd w:fill="1F3864" w:val="clear"/>
            <w:tcMar>
              <w:top w:type="dxa" w:w="70"/>
              <w:left w:type="dxa" w:w="110"/>
              <w:bottom w:type="dxa" w:w="70"/>
              <w:right w:type="dxa" w:w="110"/>
            </w:tcMar>
            <w:vAlign w:val="center"/>
          </w:tcPr>
          <w:p>
            <w:pPr>
              <w:spacing w:after="0" w:before="0" w:line="276" w:lineRule="auto"/>
            </w:pPr>
            <w:r>
              <w:rPr>
                <w:b/>
                <w:bCs/>
                <w:color w:val="FFFFFF"/>
                <w:sz w:val="17"/>
                <w:szCs w:val="17"/>
              </w:rPr>
              <w:t xml:space="preserve">Efecto sobre la conclusión</w:t>
            </w:r>
          </w:p>
        </w:tc>
      </w:tr>
      <w:tr>
        <w:trPr>
          <w:cantSplit/>
        </w:trPr>
        <w:tc>
          <w:tcPr>
            <w:tcW w:type="dxa" w:w="5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bl>
    <w:p>
      <w:pPr>
        <w:spacing w:after="120" w:before="40" w:line="276" w:lineRule="auto"/>
      </w:pPr>
      <w:r>
        <w:rPr>
          <w:color w:val="595959"/>
          <w:sz w:val="19"/>
          <w:szCs w:val="19"/>
        </w:rPr>
        <w:t xml:space="preserve">Las variables que más mueven el resultado son las que gobiernan la conclusión, y son las que el informe ejecutivo nombra.</w:t>
      </w:r>
    </w:p>
    <w:p>
      <w:pPr>
        <w:spacing w:after="140"/>
      </w:pPr>
    </w:p>
    <w:p>
      <w:pPr>
        <w:pStyle w:val="Heading1"/>
      </w:pPr>
      <w:r>
        <w:t xml:space="preserve">4. Puntos únicos de falla identificados</w:t>
      </w:r>
    </w:p>
    <w:p>
      <w:pPr>
        <w:spacing w:after="120" w:before="40" w:line="276" w:lineRule="auto"/>
      </w:pPr>
      <w:r>
        <w:t xml:space="preserve">Cada punto único de falla se registra con su proceso y pasa al informe ejecutivo. Los del caso resuelto de la Guía del Estudiante son la segmentación laxa entre la red administrativa y la médica y la ausencia de inventario de los dispositivos médicos conectados; cada equipo identifica al menos dos en su propia empresa.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2200"/>
        <w:gridCol w:w="2200"/>
        <w:gridCol w:w="1236"/>
      </w:tblGrid>
      <w:tr>
        <w:trPr>
          <w:tblHeader/>
        </w:trPr>
        <w:tc>
          <w:tcPr>
            <w:tcW w:type="dxa" w:w="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N.º</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Punto único de falla</w:t>
            </w:r>
          </w:p>
        </w:tc>
        <w:tc>
          <w:tcPr>
            <w:tcW w:type="dxa" w:w="1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 afectado</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Consecuencia si falla</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Alternativa propuesta</w:t>
            </w:r>
          </w:p>
        </w:tc>
        <w:tc>
          <w:tcPr>
            <w:tcW w:type="dxa" w:w="12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Prioridad</w:t>
            </w:r>
          </w:p>
        </w:tc>
      </w:tr>
      <w:tr>
        <w:trPr>
          <w:cantSplit/>
        </w:trPr>
        <w:tc>
          <w:tcPr>
            <w:tcW w:type="dxa" w:w="5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5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40"/>
      </w:pPr>
    </w:p>
    <w:p>
      <w:pPr>
        <w:pStyle w:val="Heading1"/>
      </w:pPr>
      <w:r>
        <w:t xml:space="preserve">5. Brechas detectadas por el análisis</w:t>
      </w:r>
    </w:p>
    <w:p>
      <w:pPr>
        <w:spacing w:after="120" w:before="40" w:line="276" w:lineRule="auto"/>
      </w:pPr>
      <w:r>
        <w:t xml:space="preserve">Una brecha es una diferencia verificada entre lo que el proceso necesita y lo que la organización tiene. Se registra con su evidencia, con el control que la cerraría y con la referencia al marco correspondiente.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1800"/>
        <w:gridCol w:w="936"/>
      </w:tblGrid>
      <w:tr>
        <w:trPr>
          <w:tblHeader/>
        </w:trPr>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Brecha</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Evidencia que la sostiene</w:t>
            </w:r>
          </w:p>
        </w:tc>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Control propuesto</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Referencia CIS v8.1 o NIST CSF 2.0</w:t>
            </w:r>
          </w:p>
        </w:tc>
        <w:tc>
          <w:tcPr>
            <w:tcW w:type="dxa" w:w="9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Prioridad</w:t>
            </w:r>
          </w:p>
        </w:tc>
      </w:tr>
      <w:tr>
        <w:trPr>
          <w:cantSplit/>
        </w:trPr>
        <w:tc>
          <w:tcPr>
            <w:tcW w:type="dxa" w:w="24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26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9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40"/>
      </w:pPr>
    </w:p>
    <w:p>
      <w:pPr>
        <w:pStyle w:val="Heading1"/>
      </w:pPr>
      <w:r>
        <w:t xml:space="preserve">6. Valoración con rangos: la alternativa FAIR</w:t>
      </w:r>
    </w:p>
    <w:p>
      <w:pPr>
        <w:spacing w:after="120" w:before="40" w:line="276" w:lineRule="auto"/>
      </w:pPr>
      <w:r>
        <w:t xml:space="preserve">El análisis factorial del riesgo de la información es una taxonomía publicada por The Open Group en sus normas Open FAIR: la de taxonomía Risk Taxonomy O-RT en su versión 3.0.1 y la de análisis Risk Analysis O-RA en su versión 2.0.1, ambas de noviembre de 2021. Descompone el riesgo en la frecuencia de los eventos de pérdida y la magnitud de la pérdida, y esta última en pérdida primaria, la que sufre la organización de forma directa, y pérdida secundaria, la que proviene de la reacción de terceros: multas, litigios y respuesta de los clientes. Trabaja con rangos y distribuciones de probabilidad en lugar de valores puntuales, lo que encaja cuando los datos históricos escasean, que es la situación de las empresas del catálogo. Esta sección se llena cuando el equipo elige explorar la alternativa.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3636"/>
      </w:tblGrid>
      <w:tr>
        <w:trPr>
          <w:tblHeader/>
        </w:trPr>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Factor</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Rango mínimo</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Rango esperado</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Rango máximo</w:t>
            </w:r>
          </w:p>
        </w:tc>
        <w:tc>
          <w:tcPr>
            <w:tcW w:type="dxa" w:w="36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del rango</w:t>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Frecuencia de eventos de pérdida</w:t>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6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Magnitud de la pérdida primaria</w:t>
            </w:r>
          </w:p>
        </w:tc>
        <w:tc>
          <w:tcPr>
            <w:tcW w:type="dxa" w:w="13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6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tcMar>
              <w:top w:type="dxa" w:w="70"/>
              <w:left w:type="dxa" w:w="110"/>
              <w:bottom w:type="dxa" w:w="70"/>
              <w:right w:type="dxa" w:w="110"/>
            </w:tcMar>
            <w:vAlign w:val="center"/>
          </w:tcPr>
          <w:p>
            <w:pPr>
              <w:spacing w:after="0" w:before="0" w:line="276" w:lineRule="auto"/>
            </w:pPr>
            <w:r>
              <w:rPr>
                <w:sz w:val="18"/>
                <w:szCs w:val="18"/>
              </w:rPr>
              <w:t xml:space="preserve">Magnitud de la pérdida secundaria</w:t>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6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2400"/>
            <w:shd w:fill="F2F7FB" w:val="clear"/>
            <w:tcMar>
              <w:top w:type="dxa" w:w="70"/>
              <w:left w:type="dxa" w:w="110"/>
              <w:bottom w:type="dxa" w:w="70"/>
              <w:right w:type="dxa" w:w="110"/>
            </w:tcMar>
            <w:vAlign w:val="center"/>
          </w:tcPr>
          <w:p>
            <w:pPr>
              <w:spacing w:after="0" w:before="0" w:line="276" w:lineRule="auto"/>
            </w:pPr>
            <w:r>
              <w:rPr>
                <w:sz w:val="18"/>
                <w:szCs w:val="18"/>
              </w:rPr>
              <w:t xml:space="preserve">Magnitud total de la pérdida</w:t>
            </w:r>
          </w:p>
        </w:tc>
        <w:tc>
          <w:tcPr>
            <w:tcW w:type="dxa" w:w="13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1300"/>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c>
          <w:tcPr>
            <w:tcW w:type="dxa" w:w="36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40" w:line="276" w:lineRule="auto"/>
      </w:pPr>
      <w:r>
        <w:t xml:space="preserve">Comparación con el resultado obtenido por el método de valores puntuales, y criterio del equipo sobre cuál conviene en este caso: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tc>
      </w:tr>
    </w:tbl>
    <w:p>
      <w:pPr>
        <w:pStyle w:val="Heading1"/>
      </w:pPr>
      <w:r>
        <w:t xml:space="preserve">7. Glosario de los campos de esta plantilla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Término</w:t>
            </w:r>
          </w:p>
        </w:tc>
        <w:tc>
          <w:tcPr>
            <w:tcW w:type="dxa" w:w="7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Definición</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Supuesto declarado</w:t>
            </w:r>
          </w:p>
        </w:tc>
        <w:tc>
          <w:tcPr>
            <w:tcW w:type="dxa" w:w="7336"/>
            <w:tcMar>
              <w:top w:type="dxa" w:w="70"/>
              <w:left w:type="dxa" w:w="110"/>
              <w:bottom w:type="dxa" w:w="70"/>
              <w:right w:type="dxa" w:w="110"/>
            </w:tcMar>
            <w:vAlign w:val="center"/>
          </w:tcPr>
          <w:p>
            <w:pPr>
              <w:spacing w:after="0" w:before="0" w:line="276" w:lineRule="auto"/>
            </w:pPr>
            <w:r>
              <w:rPr>
                <w:sz w:val="18"/>
                <w:szCs w:val="18"/>
              </w:rPr>
              <w:t xml:space="preserve">Estimación que sostiene una cifra del análisis, registrada con su origen y su fecha.</w:t>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Análisis de sensibilidad</w:t>
            </w:r>
          </w:p>
        </w:tc>
        <w:tc>
          <w:tcPr>
            <w:tcW w:type="dxa" w:w="7336"/>
            <w:shd w:fill="F2F7FB" w:val="clear"/>
            <w:tcMar>
              <w:top w:type="dxa" w:w="70"/>
              <w:left w:type="dxa" w:w="110"/>
              <w:bottom w:type="dxa" w:w="70"/>
              <w:right w:type="dxa" w:w="110"/>
            </w:tcMar>
            <w:vAlign w:val="center"/>
          </w:tcPr>
          <w:p>
            <w:pPr>
              <w:spacing w:after="0" w:before="0" w:line="276" w:lineRule="auto"/>
            </w:pPr>
            <w:r>
              <w:rPr>
                <w:sz w:val="18"/>
                <w:szCs w:val="18"/>
              </w:rPr>
              <w:t xml:space="preserve">Variación de cada supuesto en escenarios mínimo, esperado y máximo para observar cuánto se mueve el resultado.</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Pérdida primaria</w:t>
            </w:r>
          </w:p>
        </w:tc>
        <w:tc>
          <w:tcPr>
            <w:tcW w:type="dxa" w:w="7336"/>
            <w:tcMar>
              <w:top w:type="dxa" w:w="70"/>
              <w:left w:type="dxa" w:w="110"/>
              <w:bottom w:type="dxa" w:w="70"/>
              <w:right w:type="dxa" w:w="110"/>
            </w:tcMar>
            <w:vAlign w:val="center"/>
          </w:tcPr>
          <w:p>
            <w:pPr>
              <w:spacing w:after="0" w:before="0" w:line="276" w:lineRule="auto"/>
            </w:pPr>
            <w:r>
              <w:rPr>
                <w:sz w:val="18"/>
                <w:szCs w:val="18"/>
              </w:rPr>
              <w:t xml:space="preserve">Pérdida que la organización sufre de forma directa por el evento.</w:t>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Pérdida secundaria</w:t>
            </w:r>
          </w:p>
        </w:tc>
        <w:tc>
          <w:tcPr>
            <w:tcW w:type="dxa" w:w="7336"/>
            <w:shd w:fill="F2F7FB" w:val="clear"/>
            <w:tcMar>
              <w:top w:type="dxa" w:w="70"/>
              <w:left w:type="dxa" w:w="110"/>
              <w:bottom w:type="dxa" w:w="70"/>
              <w:right w:type="dxa" w:w="110"/>
            </w:tcMar>
            <w:vAlign w:val="center"/>
          </w:tcPr>
          <w:p>
            <w:pPr>
              <w:spacing w:after="0" w:before="0" w:line="276" w:lineRule="auto"/>
            </w:pPr>
            <w:r>
              <w:rPr>
                <w:sz w:val="18"/>
                <w:szCs w:val="18"/>
              </w:rPr>
              <w:t xml:space="preserve">Pérdida que proviene de la reacción de terceros: multas, litigios y respuesta de los clientes.</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Brecha</w:t>
            </w:r>
          </w:p>
        </w:tc>
        <w:tc>
          <w:tcPr>
            <w:tcW w:type="dxa" w:w="7336"/>
            <w:tcMar>
              <w:top w:type="dxa" w:w="70"/>
              <w:left w:type="dxa" w:w="110"/>
              <w:bottom w:type="dxa" w:w="70"/>
              <w:right w:type="dxa" w:w="110"/>
            </w:tcMar>
            <w:vAlign w:val="center"/>
          </w:tcPr>
          <w:p>
            <w:pPr>
              <w:spacing w:after="0" w:before="0" w:line="276" w:lineRule="auto"/>
            </w:pPr>
            <w:r>
              <w:rPr>
                <w:sz w:val="18"/>
                <w:szCs w:val="18"/>
              </w:rPr>
              <w:t xml:space="preserve">Diferencia verificada entre lo que el proceso necesita y lo que la organización tiene.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Asignación BIA (Semana 2, v6,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2026-09-26T23:15:14.157Z</dcterms:created>
  <dcterms:modified xsi:type="dcterms:W3CDTF">2026-09-26T23:15:14.157Z</dcterms:modified>
</cp:coreProperties>
</file>

<file path=docProps/custom.xml><?xml version="1.0" encoding="utf-8"?>
<Properties xmlns="http://schemas.openxmlformats.org/officeDocument/2006/custom-properties" xmlns:vt="http://schemas.openxmlformats.org/officeDocument/2006/docPropsVTypes"/>
</file>