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pPr>
    </w:p>
    <w:p>
      <w:pPr>
        <w:spacing w:after="26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047750"/>
                    </a:xfrm>
                    <a:prstGeom prst="rect">
                      <a:avLst/>
                    </a:prstGeom>
                  </pic:spPr>
                </pic:pic>
              </a:graphicData>
            </a:graphic>
          </wp:inline>
        </w:drawing>
      </w:r>
    </w:p>
    <w:p>
      <w:pPr>
        <w:spacing w:after="100"/>
        <w:jc w:val="center"/>
      </w:pPr>
      <w:r>
        <w:rPr>
          <w:rFonts w:ascii="Calibri" w:cs="Calibri" w:eastAsia="Calibri" w:hAnsi="Calibri"/>
          <w:b/>
          <w:bCs/>
          <w:color w:val="1F3864"/>
          <w:sz w:val="46"/>
          <w:szCs w:val="46"/>
        </w:rPr>
        <w:t xml:space="preserve">C I B E R S E G U R I D A D</w:t>
      </w:r>
    </w:p>
    <w:p>
      <w:pPr>
        <w:spacing w:after="60"/>
        <w:jc w:val="center"/>
      </w:pPr>
      <w:r>
        <w:rPr>
          <w:b/>
          <w:bCs/>
          <w:color w:val="2E5395"/>
          <w:sz w:val="34"/>
          <w:szCs w:val="34"/>
        </w:rPr>
        <w:t xml:space="preserve">Informe ejecutivo del análisis de impacto</w:t>
      </w:r>
    </w:p>
    <w:p>
      <w:pPr>
        <w:spacing w:after="240"/>
        <w:jc w:val="center"/>
      </w:pPr>
      <w:r>
        <w:rPr>
          <w:color w:val="262626"/>
          <w:sz w:val="24"/>
          <w:szCs w:val="24"/>
        </w:rPr>
        <w:t xml:space="preserve">El documento que la dirección lee, discute y firma</w:t>
      </w:r>
    </w:p>
    <w:p>
      <w:pPr>
        <w:spacing w:after="120" w:before="40" w:line="276" w:lineRule="auto"/>
        <w:jc w:val="center"/>
      </w:pPr>
      <w:r>
        <w:rPr>
          <w:color w:val="595959"/>
          <w:sz w:val="20"/>
          <w:szCs w:val="20"/>
        </w:rPr>
        <w:t xml:space="preserve">Análisis de Impacto en el Negocio · Plantilla 07 de 07</w:t>
      </w:r>
    </w:p>
    <w:p>
      <w:pPr>
        <w:spacing w:after="120" w:before="40" w:line="276" w:lineRule="auto"/>
        <w:jc w:val="center"/>
      </w:pPr>
      <w:r>
        <w:rPr>
          <w:color w:val="595959"/>
          <w:sz w:val="19"/>
          <w:szCs w:val="19"/>
        </w:rPr>
        <w:t xml:space="preserve">ISO 22301:2019 · ISO/TS 22317:2021 · NIST SP 800-34 Rev. 1</w:t>
      </w:r>
    </w:p>
    <w:p>
      <w:pPr>
        <w:spacing w:after="160"/>
      </w:pPr>
    </w:p>
    <w:p>
      <w:pPr>
        <w:spacing w:after="120" w:before="40" w:line="276" w:lineRule="auto"/>
        <w:jc w:val="center"/>
      </w:pPr>
      <w:r>
        <w:rPr>
          <w:b/>
          <w:bCs/>
          <w:sz w:val="22"/>
          <w:szCs w:val="22"/>
        </w:rPr>
        <w:t xml:space="preserve">Docente:</w:t>
      </w:r>
      <w:r>
        <w:rPr>
          <w:sz w:val="22"/>
          <w:szCs w:val="22"/>
        </w:rPr>
        <w:t xml:space="preserve"> Ing. Héctor Cuchilla</w:t>
      </w:r>
    </w:p>
    <w:p>
      <w:pPr>
        <w:spacing w:after="120" w:before="40" w:line="276" w:lineRule="auto"/>
        <w:jc w:val="center"/>
      </w:pPr>
      <w:r>
        <w:rPr>
          <w:color w:val="595959"/>
          <w:sz w:val="20"/>
          <w:szCs w:val="20"/>
        </w:rPr>
        <w:t xml:space="preserve">ESEN – CIBERSEGURIDAD – CICLO 03 – 2026</w:t>
      </w:r>
    </w:p>
    <w:p>
      <w:r>
        <w:br w:type="page"/>
      </w:r>
    </w:p>
    <w:p>
      <w:pPr>
        <w:spacing w:after="160" w:before="40" w:line="276" w:lineRule="auto"/>
      </w:pPr>
      <w:r>
        <w:rPr>
          <w:b/>
          <w:bCs/>
          <w:color w:val="1F3864"/>
          <w:sz w:val="26"/>
          <w:szCs w:val="26"/>
        </w:rPr>
        <w:t xml:space="preserve">Tabla de contenidos</w:t>
      </w:r>
    </w:p>
    <w:sdt>
      <w:sdtPr>
        <w:alias w:val="Tabla de contenido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Identificación del trabajo</w:t>
      </w:r>
    </w:p>
    <w:p>
      <w:pPr>
        <w:spacing w:after="120" w:before="40" w:line="276" w:lineRule="auto"/>
      </w:pPr>
      <w:r>
        <w:t xml:space="preserve">Esta plantilla se llena por equipo y sobre la empresa que el equipo tiene asignada en el catálogo del Proyecto Final. El caso resuelto que la Guía del Estudiante desarrolla usa la Red Hospitalaria Metropolitana; cada equipo aplica el mismo método a su propia empresa.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400"/>
        <w:gridCol w:w="6536"/>
      </w:tblGrid>
      <w:tr>
        <w:trPr>
          <w:tblHeader/>
        </w:trPr>
        <w:tc>
          <w:tcPr>
            <w:tcW w:type="dxa" w:w="3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65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Contenido</w:t>
            </w:r>
          </w:p>
        </w:tc>
      </w:tr>
      <w:tr>
        <w:trPr>
          <w:cantSplit/>
        </w:trPr>
        <w:tc>
          <w:tcPr>
            <w:tcW w:type="dxa" w:w="3400"/>
            <w:tcMar>
              <w:top w:type="dxa" w:w="70"/>
              <w:left w:type="dxa" w:w="110"/>
              <w:bottom w:type="dxa" w:w="70"/>
              <w:right w:type="dxa" w:w="110"/>
            </w:tcMar>
            <w:vAlign w:val="center"/>
          </w:tcPr>
          <w:p>
            <w:pPr>
              <w:spacing w:after="0" w:before="0" w:line="276" w:lineRule="auto"/>
            </w:pPr>
            <w:r>
              <w:rPr>
                <w:sz w:val="19"/>
                <w:szCs w:val="19"/>
              </w:rPr>
              <w:t xml:space="preserve">Empresa del catálogo del Proyecto Final</w:t>
            </w:r>
          </w:p>
        </w:tc>
        <w:tc>
          <w:tcPr>
            <w:tcW w:type="dxa" w:w="65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shd w:fill="F2F7FB" w:val="clear"/>
            <w:tcMar>
              <w:top w:type="dxa" w:w="70"/>
              <w:left w:type="dxa" w:w="110"/>
              <w:bottom w:type="dxa" w:w="70"/>
              <w:right w:type="dxa" w:w="110"/>
            </w:tcMar>
            <w:vAlign w:val="center"/>
          </w:tcPr>
          <w:p>
            <w:pPr>
              <w:spacing w:after="0" w:before="0" w:line="276" w:lineRule="auto"/>
            </w:pPr>
            <w:r>
              <w:rPr>
                <w:sz w:val="19"/>
                <w:szCs w:val="19"/>
              </w:rPr>
              <w:t xml:space="preserve">Sector y tamaño declarados en el perfil</w:t>
            </w:r>
          </w:p>
        </w:tc>
        <w:tc>
          <w:tcPr>
            <w:tcW w:type="dxa" w:w="65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tcMar>
              <w:top w:type="dxa" w:w="70"/>
              <w:left w:type="dxa" w:w="110"/>
              <w:bottom w:type="dxa" w:w="70"/>
              <w:right w:type="dxa" w:w="110"/>
            </w:tcMar>
            <w:vAlign w:val="center"/>
          </w:tcPr>
          <w:p>
            <w:pPr>
              <w:spacing w:after="0" w:before="0" w:line="276" w:lineRule="auto"/>
            </w:pPr>
            <w:r>
              <w:rPr>
                <w:sz w:val="19"/>
                <w:szCs w:val="19"/>
              </w:rPr>
              <w:t xml:space="preserve">Equipo (número y nombre)</w:t>
            </w:r>
          </w:p>
        </w:tc>
        <w:tc>
          <w:tcPr>
            <w:tcW w:type="dxa" w:w="65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shd w:fill="F2F7FB" w:val="clear"/>
            <w:tcMar>
              <w:top w:type="dxa" w:w="70"/>
              <w:left w:type="dxa" w:w="110"/>
              <w:bottom w:type="dxa" w:w="70"/>
              <w:right w:type="dxa" w:w="110"/>
            </w:tcMar>
            <w:vAlign w:val="center"/>
          </w:tcPr>
          <w:p>
            <w:pPr>
              <w:spacing w:after="0" w:before="0" w:line="276" w:lineRule="auto"/>
            </w:pPr>
            <w:r>
              <w:rPr>
                <w:sz w:val="19"/>
                <w:szCs w:val="19"/>
              </w:rPr>
              <w:t xml:space="preserve">Integrantes</w:t>
            </w:r>
          </w:p>
        </w:tc>
        <w:tc>
          <w:tcPr>
            <w:tcW w:type="dxa" w:w="65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tcMar>
              <w:top w:type="dxa" w:w="70"/>
              <w:left w:type="dxa" w:w="110"/>
              <w:bottom w:type="dxa" w:w="70"/>
              <w:right w:type="dxa" w:w="110"/>
            </w:tcMar>
            <w:vAlign w:val="center"/>
          </w:tcPr>
          <w:p>
            <w:pPr>
              <w:spacing w:after="0" w:before="0" w:line="276" w:lineRule="auto"/>
            </w:pPr>
            <w:r>
              <w:rPr>
                <w:sz w:val="19"/>
                <w:szCs w:val="19"/>
              </w:rPr>
              <w:t xml:space="preserve">Analista responsable de esta plantilla</w:t>
            </w:r>
          </w:p>
        </w:tc>
        <w:tc>
          <w:tcPr>
            <w:tcW w:type="dxa" w:w="65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shd w:fill="F2F7FB" w:val="clear"/>
            <w:tcMar>
              <w:top w:type="dxa" w:w="70"/>
              <w:left w:type="dxa" w:w="110"/>
              <w:bottom w:type="dxa" w:w="70"/>
              <w:right w:type="dxa" w:w="110"/>
            </w:tcMar>
            <w:vAlign w:val="center"/>
          </w:tcPr>
          <w:p>
            <w:pPr>
              <w:spacing w:after="0" w:before="0" w:line="276" w:lineRule="auto"/>
            </w:pPr>
            <w:r>
              <w:rPr>
                <w:sz w:val="19"/>
                <w:szCs w:val="19"/>
              </w:rPr>
              <w:t xml:space="preserve">Fecha de elaboración</w:t>
            </w:r>
          </w:p>
        </w:tc>
        <w:tc>
          <w:tcPr>
            <w:tcW w:type="dxa" w:w="65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tcMar>
              <w:top w:type="dxa" w:w="70"/>
              <w:left w:type="dxa" w:w="110"/>
              <w:bottom w:type="dxa" w:w="70"/>
              <w:right w:type="dxa" w:w="110"/>
            </w:tcMar>
            <w:vAlign w:val="center"/>
          </w:tcPr>
          <w:p>
            <w:pPr>
              <w:spacing w:after="0" w:before="0" w:line="276" w:lineRule="auto"/>
            </w:pPr>
            <w:r>
              <w:rPr>
                <w:sz w:val="19"/>
                <w:szCs w:val="19"/>
              </w:rPr>
              <w:t xml:space="preserve">Versión del documento</w:t>
            </w:r>
          </w:p>
        </w:tc>
        <w:tc>
          <w:tcPr>
            <w:tcW w:type="dxa" w:w="6536"/>
            <w:tcMar>
              <w:top w:type="dxa" w:w="70"/>
              <w:left w:type="dxa" w:w="110"/>
              <w:bottom w:type="dxa" w:w="70"/>
              <w:right w:type="dxa" w:w="110"/>
            </w:tcMar>
            <w:vAlign w:val="center"/>
          </w:tcPr>
          <w:p>
            <w:pPr>
              <w:spacing w:after="0" w:before="0" w:line="276" w:lineRule="auto"/>
            </w:pPr>
            <w:r>
              <w:rPr>
                <w:sz w:val="19"/>
                <w:szCs w:val="19"/>
              </w:rPr>
              <w:t xml:space="preserve"/>
            </w:r>
          </w:p>
        </w:tc>
      </w:tr>
    </w:tbl>
    <w:p>
      <w:pPr>
        <w:spacing w:after="120"/>
      </w:pPr>
    </w:p>
    <w:p>
      <w:pPr>
        <w:pStyle w:val="Heading1"/>
      </w:pPr>
      <w:r>
        <w:t xml:space="preserve">2. Resumen ejecutivo</w:t>
      </w:r>
    </w:p>
    <w:p>
      <w:pPr>
        <w:spacing w:after="120" w:before="40" w:line="276" w:lineRule="auto"/>
      </w:pPr>
      <w:r>
        <w:t xml:space="preserve">Una página como máximo, escrita para la dirección. Contiene la exposición de la organización expresada en dinero por unidad de tiempo, el plazo de tolerancia que el propio negocio declaró, los hallazgos que exigen decisión y la recomendación con su costo.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2E5395" w:sz="14"/>
              <w:left w:val="single" w:color="CFDCEE" w:sz="4"/>
              <w:bottom w:val="single" w:color="CFDCEE" w:sz="4"/>
              <w:right w:val="single" w:color="CFDCEE" w:sz="4"/>
            </w:tcBorders>
            <w:shd w:fill="F2F7FB" w:val="clear"/>
            <w:tcMar>
              <w:top w:type="dxa" w:w="140"/>
              <w:left w:type="dxa" w:w="200"/>
              <w:bottom w:type="dxa" w:w="140"/>
              <w:right w:type="dxa" w:w="200"/>
            </w:tcMar>
          </w:tcPr>
          <w:p>
            <w:pPr>
              <w:spacing w:after="190" w:before="40" w:line="276" w:lineRule="auto"/>
            </w:pPr>
            <w:r>
              <w:t xml:space="preserve"/>
            </w:r>
          </w:p>
          <w:p>
            <w:pPr>
              <w:spacing w:after="190" w:before="40" w:line="276" w:lineRule="auto"/>
            </w:pPr>
            <w:r>
              <w:t xml:space="preserve"/>
            </w:r>
          </w:p>
          <w:p>
            <w:pPr>
              <w:spacing w:after="190" w:before="40" w:line="276" w:lineRule="auto"/>
            </w:pPr>
            <w:r>
              <w:t xml:space="preserve"/>
            </w:r>
          </w:p>
          <w:p>
            <w:pPr>
              <w:spacing w:after="190" w:before="40" w:line="276" w:lineRule="auto"/>
            </w:pPr>
            <w:r>
              <w:t xml:space="preserve"/>
            </w:r>
          </w:p>
          <w:p>
            <w:pPr>
              <w:spacing w:after="190" w:before="40" w:line="276" w:lineRule="auto"/>
            </w:pPr>
            <w:r>
              <w:t xml:space="preserve"/>
            </w:r>
          </w:p>
          <w:p>
            <w:pPr>
              <w:spacing w:after="190" w:before="40" w:line="276" w:lineRule="auto"/>
            </w:pPr>
            <w:r>
              <w:t xml:space="preserve"/>
            </w:r>
          </w:p>
        </w:tc>
      </w:tr>
    </w:tbl>
    <w:p>
      <w:pPr>
        <w:pStyle w:val="Heading1"/>
      </w:pPr>
      <w:r>
        <w:t xml:space="preserve">3. Alcance y método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600"/>
        <w:gridCol w:w="6336"/>
      </w:tblGrid>
      <w:tr>
        <w:trPr>
          <w:tblHeader/>
        </w:trPr>
        <w:tc>
          <w:tcPr>
            <w:tcW w:type="dxa" w:w="3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63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Contenido</w:t>
            </w:r>
          </w:p>
        </w:tc>
      </w:tr>
      <w:tr>
        <w:trPr>
          <w:cantSplit/>
        </w:trPr>
        <w:tc>
          <w:tcPr>
            <w:tcW w:type="dxa" w:w="3600"/>
            <w:tcMar>
              <w:top w:type="dxa" w:w="70"/>
              <w:left w:type="dxa" w:w="110"/>
              <w:bottom w:type="dxa" w:w="70"/>
              <w:right w:type="dxa" w:w="110"/>
            </w:tcMar>
            <w:vAlign w:val="center"/>
          </w:tcPr>
          <w:p>
            <w:pPr>
              <w:spacing w:after="0" w:before="0" w:line="276" w:lineRule="auto"/>
            </w:pPr>
            <w:r>
              <w:rPr>
                <w:sz w:val="18"/>
                <w:szCs w:val="18"/>
              </w:rPr>
              <w:t xml:space="preserve">Procesos incluidos en el análisis</w:t>
            </w:r>
          </w:p>
        </w:tc>
        <w:tc>
          <w:tcPr>
            <w:tcW w:type="dxa" w:w="63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8"/>
                <w:szCs w:val="18"/>
              </w:rPr>
              <w:t xml:space="preserve">Procesos excluidos y por qué</w:t>
            </w:r>
          </w:p>
        </w:tc>
        <w:tc>
          <w:tcPr>
            <w:tcW w:type="dxa" w:w="63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600"/>
            <w:tcMar>
              <w:top w:type="dxa" w:w="70"/>
              <w:left w:type="dxa" w:w="110"/>
              <w:bottom w:type="dxa" w:w="70"/>
              <w:right w:type="dxa" w:w="110"/>
            </w:tcMar>
            <w:vAlign w:val="center"/>
          </w:tcPr>
          <w:p>
            <w:pPr>
              <w:spacing w:after="0" w:before="0" w:line="276" w:lineRule="auto"/>
            </w:pPr>
            <w:r>
              <w:rPr>
                <w:sz w:val="18"/>
                <w:szCs w:val="18"/>
              </w:rPr>
              <w:t xml:space="preserve">Período de levantamiento</w:t>
            </w:r>
          </w:p>
        </w:tc>
        <w:tc>
          <w:tcPr>
            <w:tcW w:type="dxa" w:w="63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8"/>
                <w:szCs w:val="18"/>
              </w:rPr>
              <w:t xml:space="preserve">Medios de levantamiento empleados</w:t>
            </w:r>
          </w:p>
        </w:tc>
        <w:tc>
          <w:tcPr>
            <w:tcW w:type="dxa" w:w="63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600"/>
            <w:tcMar>
              <w:top w:type="dxa" w:w="70"/>
              <w:left w:type="dxa" w:w="110"/>
              <w:bottom w:type="dxa" w:w="70"/>
              <w:right w:type="dxa" w:w="110"/>
            </w:tcMar>
            <w:vAlign w:val="center"/>
          </w:tcPr>
          <w:p>
            <w:pPr>
              <w:spacing w:after="0" w:before="0" w:line="276" w:lineRule="auto"/>
            </w:pPr>
            <w:r>
              <w:rPr>
                <w:sz w:val="18"/>
                <w:szCs w:val="18"/>
              </w:rPr>
              <w:t xml:space="preserve">Personas entrevistadas y áreas participantes</w:t>
            </w:r>
          </w:p>
        </w:tc>
        <w:tc>
          <w:tcPr>
            <w:tcW w:type="dxa" w:w="63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8"/>
                <w:szCs w:val="18"/>
              </w:rPr>
              <w:t xml:space="preserve">Método de valoración empleado (resumen de la sección 10 de BIA_P02)</w:t>
            </w:r>
          </w:p>
        </w:tc>
        <w:tc>
          <w:tcPr>
            <w:tcW w:type="dxa" w:w="63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600"/>
            <w:tcMar>
              <w:top w:type="dxa" w:w="70"/>
              <w:left w:type="dxa" w:w="110"/>
              <w:bottom w:type="dxa" w:w="70"/>
              <w:right w:type="dxa" w:w="110"/>
            </w:tcMar>
            <w:vAlign w:val="center"/>
          </w:tcPr>
          <w:p>
            <w:pPr>
              <w:spacing w:after="0" w:before="0" w:line="276" w:lineRule="auto"/>
            </w:pPr>
            <w:r>
              <w:rPr>
                <w:sz w:val="18"/>
                <w:szCs w:val="18"/>
              </w:rPr>
              <w:t xml:space="preserve">Escenario temporal usado (período pico considerado)</w:t>
            </w:r>
          </w:p>
        </w:tc>
        <w:tc>
          <w:tcPr>
            <w:tcW w:type="dxa" w:w="6336"/>
            <w:tcMar>
              <w:top w:type="dxa" w:w="70"/>
              <w:left w:type="dxa" w:w="110"/>
              <w:bottom w:type="dxa" w:w="70"/>
              <w:right w:type="dxa" w:w="110"/>
            </w:tcMar>
            <w:vAlign w:val="center"/>
          </w:tcPr>
          <w:p>
            <w:pPr>
              <w:spacing w:after="0" w:before="0" w:line="276" w:lineRule="auto"/>
            </w:pPr>
            <w:r>
              <w:rPr>
                <w:sz w:val="18"/>
                <w:szCs w:val="18"/>
              </w:rPr>
              <w:t xml:space="preserve"/>
            </w:r>
          </w:p>
        </w:tc>
      </w:tr>
    </w:tbl>
    <w:p>
      <w:pPr>
        <w:spacing w:after="120"/>
      </w:pPr>
    </w:p>
    <w:p>
      <w:pPr>
        <w:pStyle w:val="Heading1"/>
      </w:pPr>
      <w:r>
        <w:t xml:space="preserve">4. Procesos críticos priorizados y sus métricas de tiempo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200"/>
        <w:gridCol w:w="900"/>
        <w:gridCol w:w="900"/>
        <w:gridCol w:w="900"/>
        <w:gridCol w:w="900"/>
        <w:gridCol w:w="2236"/>
      </w:tblGrid>
      <w:tr>
        <w:trPr>
          <w:tblHeader/>
        </w:trPr>
        <w:tc>
          <w:tcPr>
            <w:tcW w:type="dxa" w:w="7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Orden</w:t>
            </w:r>
          </w:p>
        </w:tc>
        <w:tc>
          <w:tcPr>
            <w:tcW w:type="dxa" w:w="2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Proceso</w:t>
            </w:r>
          </w:p>
        </w:tc>
        <w:tc>
          <w:tcPr>
            <w:tcW w:type="dxa" w:w="1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Clase</w:t>
            </w:r>
          </w:p>
        </w:tc>
        <w:tc>
          <w:tcPr>
            <w:tcW w:type="dxa" w:w="9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MTPD</w:t>
            </w:r>
          </w:p>
        </w:tc>
        <w:tc>
          <w:tcPr>
            <w:tcW w:type="dxa" w:w="9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RTO</w:t>
            </w:r>
          </w:p>
        </w:tc>
        <w:tc>
          <w:tcPr>
            <w:tcW w:type="dxa" w:w="9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WRT</w:t>
            </w:r>
          </w:p>
        </w:tc>
        <w:tc>
          <w:tcPr>
            <w:tcW w:type="dxa" w:w="9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RPO</w:t>
            </w:r>
          </w:p>
        </w:tc>
        <w:tc>
          <w:tcPr>
            <w:tcW w:type="dxa" w:w="22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MBCO declarado</w:t>
            </w:r>
          </w:p>
        </w:tc>
      </w:tr>
      <w:tr>
        <w:trPr>
          <w:cantSplit/>
        </w:trPr>
        <w:tc>
          <w:tcPr>
            <w:tcW w:type="dxa" w:w="7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36"/>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36"/>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36"/>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36"/>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36"/>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36"/>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36"/>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36"/>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bl>
    <w:p>
      <w:pPr>
        <w:spacing w:after="120" w:before="40" w:line="276" w:lineRule="auto"/>
      </w:pPr>
      <w:r>
        <w:t xml:space="preserve">Comprobación de coherencia de todas las fichas: RTO + WRT ≤ MTPD. Fichas que la superan: ______ de ______.</w:t>
      </w:r>
    </w:p>
    <w:p>
      <w:pPr>
        <w:spacing w:after="120"/>
      </w:pPr>
    </w:p>
    <w:p>
      <w:pPr>
        <w:pStyle w:val="Heading1"/>
      </w:pPr>
      <w:r>
        <w:t xml:space="preserve">5. Costo de la indisponibilidad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2000"/>
        <w:gridCol w:w="2536"/>
      </w:tblGrid>
      <w:tr>
        <w:trPr>
          <w:tblHeader/>
        </w:trPr>
        <w:tc>
          <w:tcPr>
            <w:tcW w:type="dxa" w:w="2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Proceso</w:t>
            </w:r>
          </w:p>
        </w:tc>
        <w:tc>
          <w:tcPr>
            <w:tcW w:type="dxa" w:w="15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Costo por hora</w:t>
            </w:r>
          </w:p>
        </w:tc>
        <w:tc>
          <w:tcPr>
            <w:tcW w:type="dxa" w:w="15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Costo por día</w:t>
            </w:r>
          </w:p>
        </w:tc>
        <w:tc>
          <w:tcPr>
            <w:tcW w:type="dxa" w:w="20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Costo al alcanzar el MTPD</w:t>
            </w:r>
          </w:p>
        </w:tc>
        <w:tc>
          <w:tcPr>
            <w:tcW w:type="dxa" w:w="25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Supuesto principal</w:t>
            </w:r>
          </w:p>
        </w:tc>
      </w:tr>
      <w:tr>
        <w:trPr>
          <w:cantSplit/>
        </w:trPr>
        <w:tc>
          <w:tcPr>
            <w:tcW w:type="dxa" w:w="24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5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5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0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4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5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5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0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4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5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5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0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4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5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5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0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4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5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5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0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4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5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5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0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bl>
    <w:p>
      <w:pPr>
        <w:spacing w:after="120" w:before="40" w:line="276" w:lineRule="auto"/>
      </w:pPr>
      <w:r>
        <w:t xml:space="preserve">El MTPD se expresa en horas transcurridas y el costo acumula solo durante la ventana de operación del proceso.</w:t>
      </w:r>
    </w:p>
    <w:p>
      <w:pPr>
        <w:spacing w:after="140"/>
      </w:pPr>
    </w:p>
    <w:p>
      <w:pPr>
        <w:pStyle w:val="Heading1"/>
      </w:pPr>
      <w:r>
        <w:t xml:space="preserve">6. Puntos únicos de falla y brechas que exigen decisión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200"/>
        <w:gridCol w:w="1336"/>
      </w:tblGrid>
      <w:tr>
        <w:trPr>
          <w:tblHeader/>
        </w:trPr>
        <w:tc>
          <w:tcPr>
            <w:tcW w:type="dxa" w:w="2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Hallazgo</w:t>
            </w:r>
          </w:p>
        </w:tc>
        <w:tc>
          <w:tcPr>
            <w:tcW w:type="dxa" w:w="18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Proceso afectado</w:t>
            </w:r>
          </w:p>
        </w:tc>
        <w:tc>
          <w:tcPr>
            <w:tcW w:type="dxa" w:w="2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Consecuencia</w:t>
            </w:r>
          </w:p>
        </w:tc>
        <w:tc>
          <w:tcPr>
            <w:tcW w:type="dxa" w:w="2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Acción propuesta</w:t>
            </w:r>
          </w:p>
        </w:tc>
        <w:tc>
          <w:tcPr>
            <w:tcW w:type="dxa" w:w="13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Costo estimado</w:t>
            </w:r>
          </w:p>
        </w:tc>
      </w:tr>
      <w:tr>
        <w:trPr>
          <w:cantSplit/>
        </w:trPr>
        <w:tc>
          <w:tcPr>
            <w:tcW w:type="dxa" w:w="24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8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336"/>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24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8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336"/>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24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8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336"/>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24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8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336"/>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24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8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336"/>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24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8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336"/>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bl>
    <w:p>
      <w:pPr>
        <w:spacing w:after="140"/>
      </w:pPr>
    </w:p>
    <w:p>
      <w:pPr>
        <w:pStyle w:val="Heading1"/>
      </w:pPr>
      <w:r>
        <w:t xml:space="preserve">7. Frontera con el análisis de riesgos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2E5395" w:sz="14"/>
              <w:left w:val="single" w:color="CFDCEE" w:sz="4"/>
              <w:bottom w:val="single" w:color="CFDCEE" w:sz="4"/>
              <w:right w:val="single" w:color="CFDCEE" w:sz="4"/>
            </w:tcBorders>
            <w:shd w:fill="F2F7FB" w:val="clear"/>
            <w:tcMar>
              <w:top w:type="dxa" w:w="140"/>
              <w:left w:type="dxa" w:w="200"/>
              <w:bottom w:type="dxa" w:w="140"/>
              <w:right w:type="dxa" w:w="200"/>
            </w:tcMar>
          </w:tcPr>
          <w:p>
            <w:pPr>
              <w:spacing w:after="80" w:before="40" w:line="276" w:lineRule="auto"/>
            </w:pPr>
            <w:r>
              <w:rPr>
                <w:b/>
                <w:bCs/>
              </w:rPr>
              <w:t xml:space="preserve">Lo que este informe entrega como resultado del BIA:</w:t>
            </w:r>
            <w:r>
              <w:t xml:space="preserve"> la lista priorizada de procesos, los objetivos de tiempo, el costo de la interrupción por unidad de tiempo, y el valor del activo con su factor de exposición, de donde sale la pérdida esperada por evento único.</w:t>
            </w:r>
          </w:p>
          <w:p>
            <w:pPr>
              <w:spacing w:after="0" w:before="40" w:line="276" w:lineRule="auto"/>
            </w:pPr>
            <w:r>
              <w:rPr>
                <w:b/>
                <w:bCs/>
              </w:rPr>
              <w:t xml:space="preserve">Lo que corresponde al análisis de riesgos:</w:t>
            </w:r>
            <w:r>
              <w:t xml:space="preserve"> la tasa anualizada de ocurrencia (ARO) y la pérdida anual esperada (ALE = SLE × ARO), conforme a NIST SP 800-30 Rev. 1, porque ambas requieren estimar la probabilidad de la amenaza. El BIA responde qué pasa si ocurre; el análisis de riesgos responde con qué frecuencia ocurrirá.</w:t>
            </w:r>
          </w:p>
        </w:tc>
      </w:tr>
    </w:tbl>
    <w:p>
      <w:pPr>
        <w:spacing w:after="120"/>
      </w:pPr>
    </w:p>
    <w:p>
      <w:pPr>
        <w:pStyle w:val="Heading1"/>
      </w:pPr>
      <w:r>
        <w:t xml:space="preserve">8. Justificación económica del control, en cinco pasos</w:t>
      </w:r>
    </w:p>
    <w:p>
      <w:pPr>
        <w:spacing w:after="120" w:before="40" w:line="276" w:lineRule="auto"/>
      </w:pPr>
      <w:r>
        <w:rPr>
          <w:color w:val="595959"/>
          <w:sz w:val="19"/>
          <w:szCs w:val="19"/>
        </w:rPr>
        <w:t xml:space="preserve">En el Proyecto Final, las secciones 8 a 11 se marcan «se completa en E.05» en la entrega del hito H2 y se completan en la versión 1.1 de este informe, que se entrega junto con E.05.</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4336"/>
      </w:tblGrid>
      <w:tr>
        <w:trPr>
          <w:tblHeader/>
        </w:trPr>
        <w:tc>
          <w:tcPr>
            <w:tcW w:type="dxa" w:w="3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Paso</w:t>
            </w:r>
          </w:p>
        </w:tc>
        <w:tc>
          <w:tcPr>
            <w:tcW w:type="dxa" w:w="2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Resultado</w:t>
            </w:r>
          </w:p>
        </w:tc>
        <w:tc>
          <w:tcPr>
            <w:tcW w:type="dxa" w:w="43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Cómo se obtuvo y con qué fundamento</w:t>
            </w:r>
          </w:p>
        </w:tc>
      </w:tr>
      <w:tr>
        <w:trPr>
          <w:cantSplit/>
        </w:trPr>
        <w:tc>
          <w:tcPr>
            <w:tcW w:type="dxa" w:w="3400"/>
            <w:tcMar>
              <w:top w:type="dxa" w:w="70"/>
              <w:left w:type="dxa" w:w="110"/>
              <w:bottom w:type="dxa" w:w="70"/>
              <w:right w:type="dxa" w:w="110"/>
            </w:tcMar>
            <w:vAlign w:val="center"/>
          </w:tcPr>
          <w:p>
            <w:pPr>
              <w:spacing w:after="0" w:before="0" w:line="276" w:lineRule="auto"/>
            </w:pPr>
            <w:r>
              <w:rPr>
                <w:sz w:val="18"/>
                <w:szCs w:val="18"/>
              </w:rPr>
              <w:t xml:space="preserve">1. ALE actual, sin control adicional (línea base de riesgo)</w:t>
            </w:r>
          </w:p>
        </w:tc>
        <w:tc>
          <w:tcPr>
            <w:tcW w:type="dxa" w:w="22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43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400"/>
            <w:shd w:fill="F2F7FB" w:val="clear"/>
            <w:tcMar>
              <w:top w:type="dxa" w:w="70"/>
              <w:left w:type="dxa" w:w="110"/>
              <w:bottom w:type="dxa" w:w="70"/>
              <w:right w:type="dxa" w:w="110"/>
            </w:tcMar>
            <w:vAlign w:val="center"/>
          </w:tcPr>
          <w:p>
            <w:pPr>
              <w:spacing w:after="0" w:before="0" w:line="276" w:lineRule="auto"/>
            </w:pPr>
            <w:r>
              <w:rPr>
                <w:sz w:val="18"/>
                <w:szCs w:val="18"/>
              </w:rPr>
              <w:t xml:space="preserve">2. Efectividad estimada del control (sobre el SLE o sobre el ARO)</w:t>
            </w:r>
          </w:p>
        </w:tc>
        <w:tc>
          <w:tcPr>
            <w:tcW w:type="dxa" w:w="22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43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400"/>
            <w:tcMar>
              <w:top w:type="dxa" w:w="70"/>
              <w:left w:type="dxa" w:w="110"/>
              <w:bottom w:type="dxa" w:w="70"/>
              <w:right w:type="dxa" w:w="110"/>
            </w:tcMar>
            <w:vAlign w:val="center"/>
          </w:tcPr>
          <w:p>
            <w:pPr>
              <w:spacing w:after="0" w:before="0" w:line="276" w:lineRule="auto"/>
            </w:pPr>
            <w:r>
              <w:rPr>
                <w:sz w:val="18"/>
                <w:szCs w:val="18"/>
              </w:rPr>
              <w:t xml:space="preserve">3. ALE con el control operando</w:t>
            </w:r>
          </w:p>
        </w:tc>
        <w:tc>
          <w:tcPr>
            <w:tcW w:type="dxa" w:w="22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43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400"/>
            <w:shd w:fill="F2F7FB" w:val="clear"/>
            <w:tcMar>
              <w:top w:type="dxa" w:w="70"/>
              <w:left w:type="dxa" w:w="110"/>
              <w:bottom w:type="dxa" w:w="70"/>
              <w:right w:type="dxa" w:w="110"/>
            </w:tcMar>
            <w:vAlign w:val="center"/>
          </w:tcPr>
          <w:p>
            <w:pPr>
              <w:spacing w:after="0" w:before="0" w:line="276" w:lineRule="auto"/>
            </w:pPr>
            <w:r>
              <w:rPr>
                <w:sz w:val="18"/>
                <w:szCs w:val="18"/>
              </w:rPr>
              <w:t xml:space="preserve">4. Beneficio (diferencia entre ambos ALE)</w:t>
            </w:r>
          </w:p>
        </w:tc>
        <w:tc>
          <w:tcPr>
            <w:tcW w:type="dxa" w:w="22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43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400"/>
            <w:tcMar>
              <w:top w:type="dxa" w:w="70"/>
              <w:left w:type="dxa" w:w="110"/>
              <w:bottom w:type="dxa" w:w="70"/>
              <w:right w:type="dxa" w:w="110"/>
            </w:tcMar>
            <w:vAlign w:val="center"/>
          </w:tcPr>
          <w:p>
            <w:pPr>
              <w:spacing w:after="0" w:before="0" w:line="276" w:lineRule="auto"/>
            </w:pPr>
            <w:r>
              <w:rPr>
                <w:sz w:val="18"/>
                <w:szCs w:val="18"/>
              </w:rPr>
              <w:t xml:space="preserve">5. Costos totales del control (ACC)</w:t>
            </w:r>
          </w:p>
        </w:tc>
        <w:tc>
          <w:tcPr>
            <w:tcW w:type="dxa" w:w="22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4336"/>
            <w:tcMar>
              <w:top w:type="dxa" w:w="70"/>
              <w:left w:type="dxa" w:w="110"/>
              <w:bottom w:type="dxa" w:w="70"/>
              <w:right w:type="dxa" w:w="110"/>
            </w:tcMar>
            <w:vAlign w:val="center"/>
          </w:tcPr>
          <w:p>
            <w:pPr>
              <w:spacing w:after="0" w:before="0" w:line="276" w:lineRule="auto"/>
            </w:pPr>
            <w:r>
              <w:rPr>
                <w:sz w:val="18"/>
                <w:szCs w:val="18"/>
              </w:rPr>
              <w:t xml:space="preserve"/>
            </w:r>
          </w:p>
        </w:tc>
      </w:tr>
    </w:tbl>
    <w:p>
      <w:pPr>
        <w:spacing w:after="120" w:before="40" w:line="276" w:lineRule="auto"/>
      </w:pPr>
      <w:r>
        <w:rPr>
          <w:color w:val="595959"/>
          <w:sz w:val="19"/>
          <w:szCs w:val="19"/>
        </w:rPr>
        <w:t xml:space="preserve">La efectividad se apoya en especificaciones técnicas y estudios, no en la impresión del proveedor.</w:t>
      </w:r>
    </w:p>
    <w:p>
      <w:pPr>
        <w:spacing w:after="120"/>
      </w:pPr>
    </w:p>
    <w:p>
      <w:pPr>
        <w:pStyle w:val="Heading1"/>
      </w:pPr>
      <w:r>
        <w:t xml:space="preserve">9. Costo anual del control (ACC)</w:t>
      </w:r>
    </w:p>
    <w:p>
      <w:pPr>
        <w:spacing w:after="120" w:before="40" w:line="276" w:lineRule="auto"/>
      </w:pPr>
      <w:r>
        <w:t xml:space="preserve">Omitir cualquiera de las tres familias de gasto infla el retorno aparente y produce decisiones que el presupuesto desmiente al año siguiente.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736"/>
      </w:tblGrid>
      <w:tr>
        <w:trPr>
          <w:tblHeader/>
        </w:trPr>
        <w:tc>
          <w:tcPr>
            <w:tcW w:type="dxa" w:w="2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Familia de gasto</w:t>
            </w:r>
          </w:p>
        </w:tc>
        <w:tc>
          <w:tcPr>
            <w:tcW w:type="dxa" w:w="4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Componentes que incluye</w:t>
            </w:r>
          </w:p>
        </w:tc>
        <w:tc>
          <w:tcPr>
            <w:tcW w:type="dxa" w:w="27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Monto anual</w:t>
            </w:r>
          </w:p>
        </w:tc>
      </w:tr>
      <w:tr>
        <w:trPr>
          <w:cantSplit/>
        </w:trPr>
        <w:tc>
          <w:tcPr>
            <w:tcW w:type="dxa" w:w="2600"/>
            <w:tcMar>
              <w:top w:type="dxa" w:w="70"/>
              <w:left w:type="dxa" w:w="110"/>
              <w:bottom w:type="dxa" w:w="70"/>
              <w:right w:type="dxa" w:w="110"/>
            </w:tcMar>
            <w:vAlign w:val="center"/>
          </w:tcPr>
          <w:p>
            <w:pPr>
              <w:spacing w:after="0" w:before="0" w:line="276" w:lineRule="auto"/>
            </w:pPr>
            <w:r>
              <w:rPr>
                <w:sz w:val="18"/>
                <w:szCs w:val="18"/>
              </w:rPr>
              <w:t xml:space="preserve">Adquisición</w:t>
            </w:r>
          </w:p>
        </w:tc>
        <w:tc>
          <w:tcPr>
            <w:tcW w:type="dxa" w:w="4600"/>
            <w:tcMar>
              <w:top w:type="dxa" w:w="70"/>
              <w:left w:type="dxa" w:w="110"/>
              <w:bottom w:type="dxa" w:w="70"/>
              <w:right w:type="dxa" w:w="110"/>
            </w:tcMar>
            <w:vAlign w:val="center"/>
          </w:tcPr>
          <w:p>
            <w:pPr>
              <w:spacing w:after="0" w:before="0" w:line="276" w:lineRule="auto"/>
            </w:pPr>
            <w:r>
              <w:rPr>
                <w:sz w:val="18"/>
                <w:szCs w:val="18"/>
              </w:rPr>
              <w:t xml:space="preserve">Licencias anualizadas, hardware y equipamiento, implementación inicial repartida sobre su vida útil.</w:t>
            </w:r>
          </w:p>
        </w:tc>
        <w:tc>
          <w:tcPr>
            <w:tcW w:type="dxa" w:w="27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600"/>
            <w:shd w:fill="F2F7FB" w:val="clear"/>
            <w:tcMar>
              <w:top w:type="dxa" w:w="70"/>
              <w:left w:type="dxa" w:w="110"/>
              <w:bottom w:type="dxa" w:w="70"/>
              <w:right w:type="dxa" w:w="110"/>
            </w:tcMar>
            <w:vAlign w:val="center"/>
          </w:tcPr>
          <w:p>
            <w:pPr>
              <w:spacing w:after="0" w:before="0" w:line="276" w:lineRule="auto"/>
            </w:pPr>
            <w:r>
              <w:rPr>
                <w:sz w:val="18"/>
                <w:szCs w:val="18"/>
              </w:rPr>
              <w:t xml:space="preserve">Operación</w:t>
            </w:r>
          </w:p>
        </w:tc>
        <w:tc>
          <w:tcPr>
            <w:tcW w:type="dxa" w:w="4600"/>
            <w:shd w:fill="F2F7FB" w:val="clear"/>
            <w:tcMar>
              <w:top w:type="dxa" w:w="70"/>
              <w:left w:type="dxa" w:w="110"/>
              <w:bottom w:type="dxa" w:w="70"/>
              <w:right w:type="dxa" w:w="110"/>
            </w:tcMar>
            <w:vAlign w:val="center"/>
          </w:tcPr>
          <w:p>
            <w:pPr>
              <w:spacing w:after="0" w:before="0" w:line="276" w:lineRule="auto"/>
            </w:pPr>
            <w:r>
              <w:rPr>
                <w:sz w:val="18"/>
                <w:szCs w:val="18"/>
              </w:rPr>
              <w:t xml:space="preserve">Horas de personal en gestión, monitoreo y administración; consumo de recursos computacionales.</w:t>
            </w:r>
          </w:p>
        </w:tc>
        <w:tc>
          <w:tcPr>
            <w:tcW w:type="dxa" w:w="27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600"/>
            <w:tcMar>
              <w:top w:type="dxa" w:w="70"/>
              <w:left w:type="dxa" w:w="110"/>
              <w:bottom w:type="dxa" w:w="70"/>
              <w:right w:type="dxa" w:w="110"/>
            </w:tcMar>
            <w:vAlign w:val="center"/>
          </w:tcPr>
          <w:p>
            <w:pPr>
              <w:spacing w:after="0" w:before="0" w:line="276" w:lineRule="auto"/>
            </w:pPr>
            <w:r>
              <w:rPr>
                <w:sz w:val="18"/>
                <w:szCs w:val="18"/>
              </w:rPr>
              <w:t xml:space="preserve">Mantenimiento</w:t>
            </w:r>
          </w:p>
        </w:tc>
        <w:tc>
          <w:tcPr>
            <w:tcW w:type="dxa" w:w="4600"/>
            <w:tcMar>
              <w:top w:type="dxa" w:w="70"/>
              <w:left w:type="dxa" w:w="110"/>
              <w:bottom w:type="dxa" w:w="70"/>
              <w:right w:type="dxa" w:w="110"/>
            </w:tcMar>
            <w:vAlign w:val="center"/>
          </w:tcPr>
          <w:p>
            <w:pPr>
              <w:spacing w:after="0" w:before="0" w:line="276" w:lineRule="auto"/>
            </w:pPr>
            <w:r>
              <w:rPr>
                <w:sz w:val="18"/>
                <w:szCs w:val="18"/>
              </w:rPr>
              <w:t xml:space="preserve">Actualizaciones y parches, soporte técnico, capacitación continua del personal.</w:t>
            </w:r>
          </w:p>
        </w:tc>
        <w:tc>
          <w:tcPr>
            <w:tcW w:type="dxa" w:w="27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600"/>
            <w:shd w:fill="F2F7FB" w:val="clear"/>
            <w:tcMar>
              <w:top w:type="dxa" w:w="70"/>
              <w:left w:type="dxa" w:w="110"/>
              <w:bottom w:type="dxa" w:w="70"/>
              <w:right w:type="dxa" w:w="110"/>
            </w:tcMar>
            <w:vAlign w:val="center"/>
          </w:tcPr>
          <w:p>
            <w:pPr>
              <w:spacing w:after="0" w:before="0" w:line="276" w:lineRule="auto"/>
            </w:pPr>
            <w:r>
              <w:rPr>
                <w:b/>
                <w:bCs/>
                <w:sz w:val="18"/>
                <w:szCs w:val="18"/>
              </w:rPr>
              <w:t xml:space="preserve">Total ACC</w:t>
            </w:r>
          </w:p>
        </w:tc>
        <w:tc>
          <w:tcPr>
            <w:tcW w:type="dxa" w:w="46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7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bl>
    <w:p>
      <w:pPr>
        <w:spacing w:after="120"/>
      </w:pPr>
    </w:p>
    <w:p>
      <w:pPr>
        <w:pStyle w:val="Heading1"/>
      </w:pPr>
      <w:r>
        <w:t xml:space="preserve">10. Retorno de la inversión en seguridad (ROSI)</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2E5395" w:sz="14"/>
              <w:left w:val="single" w:color="CFDCEE" w:sz="4"/>
              <w:bottom w:val="single" w:color="CFDCEE" w:sz="4"/>
              <w:right w:val="single" w:color="CFDCEE" w:sz="4"/>
            </w:tcBorders>
            <w:shd w:fill="F2F7FB" w:val="clear"/>
            <w:tcMar>
              <w:top w:type="dxa" w:w="140"/>
              <w:left w:type="dxa" w:w="200"/>
              <w:bottom w:type="dxa" w:w="140"/>
              <w:right w:type="dxa" w:w="200"/>
            </w:tcMar>
          </w:tcPr>
          <w:p>
            <w:pPr>
              <w:spacing w:after="100" w:before="40" w:line="276" w:lineRule="auto"/>
            </w:pPr>
            <w:r>
              <w:rPr>
                <w:b/>
                <w:bCs/>
                <w:color w:val="1F3864"/>
                <w:sz w:val="22"/>
                <w:szCs w:val="22"/>
              </w:rPr>
              <w:t xml:space="preserve">ROSI = (Beneficio − ACC) ÷ ACC</w:t>
            </w:r>
            <w:r>
              <w:rPr>
                <w:color w:val="1F3864"/>
                <w:sz w:val="22"/>
                <w:szCs w:val="22"/>
              </w:rPr>
              <w:t xml:space="preserve">, expresado en porcentaje.</w:t>
            </w:r>
          </w:p>
          <w:p>
            <w:pPr>
              <w:spacing w:after="80" w:before="40" w:line="276" w:lineRule="auto"/>
            </w:pPr>
            <w:r>
              <w:t xml:space="preserve">Beneficio: ____________   −   ACC: ____________   =   Beneficio neto: ____________</w:t>
            </w:r>
          </w:p>
          <w:p>
            <w:pPr>
              <w:spacing w:after="80" w:before="40" w:line="276" w:lineRule="auto"/>
            </w:pPr>
            <w:r>
              <w:t xml:space="preserve">Beneficio neto ÷ ACC = ROSI: ____________ %</w:t>
            </w:r>
          </w:p>
          <w:p>
            <w:pPr>
              <w:spacing w:after="0" w:before="40" w:line="276" w:lineRule="auto"/>
            </w:pPr>
            <w:r>
              <w:rPr>
                <w:color w:val="595959"/>
                <w:sz w:val="19"/>
                <w:szCs w:val="19"/>
              </w:rPr>
              <w:t xml:space="preserve">El indicador permite comparar controles entre sí y ordenar el gasto, y su valor depende por completo de la calidad de las estimaciones que lo alimentan.</w:t>
            </w:r>
          </w:p>
        </w:tc>
      </w:tr>
    </w:tbl>
    <w:p>
      <w:pPr>
        <w:spacing w:after="120"/>
      </w:pPr>
    </w:p>
    <w:p>
      <w:pPr>
        <w:pStyle w:val="Heading1"/>
      </w:pPr>
      <w:r>
        <w:t xml:space="preserve">11. Análisis de sensibilidad en tres escenarios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300"/>
        <w:gridCol w:w="1400"/>
        <w:gridCol w:w="1200"/>
        <w:gridCol w:w="1100"/>
        <w:gridCol w:w="2536"/>
      </w:tblGrid>
      <w:tr>
        <w:trPr>
          <w:tblHeader/>
        </w:trPr>
        <w:tc>
          <w:tcPr>
            <w:tcW w:type="dxa" w:w="15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Escenario</w:t>
            </w:r>
          </w:p>
        </w:tc>
        <w:tc>
          <w:tcPr>
            <w:tcW w:type="dxa" w:w="9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ARO</w:t>
            </w:r>
          </w:p>
        </w:tc>
        <w:tc>
          <w:tcPr>
            <w:tcW w:type="dxa" w:w="13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ALE</w:t>
            </w:r>
          </w:p>
        </w:tc>
        <w:tc>
          <w:tcPr>
            <w:tcW w:type="dxa" w:w="1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Beneficio</w:t>
            </w:r>
          </w:p>
        </w:tc>
        <w:tc>
          <w:tcPr>
            <w:tcW w:type="dxa" w:w="1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ACC</w:t>
            </w:r>
          </w:p>
        </w:tc>
        <w:tc>
          <w:tcPr>
            <w:tcW w:type="dxa" w:w="11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ROSI</w:t>
            </w:r>
          </w:p>
        </w:tc>
        <w:tc>
          <w:tcPr>
            <w:tcW w:type="dxa" w:w="25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La recomendación se mantiene</w:t>
            </w:r>
          </w:p>
        </w:tc>
      </w:tr>
      <w:tr>
        <w:trPr>
          <w:cantSplit/>
        </w:trPr>
        <w:tc>
          <w:tcPr>
            <w:tcW w:type="dxa" w:w="1500"/>
            <w:tcMar>
              <w:top w:type="dxa" w:w="70"/>
              <w:left w:type="dxa" w:w="110"/>
              <w:bottom w:type="dxa" w:w="70"/>
              <w:right w:type="dxa" w:w="110"/>
            </w:tcMar>
            <w:vAlign w:val="center"/>
          </w:tcPr>
          <w:p>
            <w:pPr>
              <w:spacing w:after="0" w:before="0" w:line="276" w:lineRule="auto"/>
            </w:pPr>
            <w:r>
              <w:rPr>
                <w:sz w:val="18"/>
                <w:szCs w:val="18"/>
              </w:rPr>
              <w:t xml:space="preserve">Mínimo</w:t>
            </w:r>
          </w:p>
        </w:tc>
        <w:tc>
          <w:tcPr>
            <w:tcW w:type="dxa" w:w="9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3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4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2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1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1500"/>
            <w:shd w:fill="F2F7FB" w:val="clear"/>
            <w:tcMar>
              <w:top w:type="dxa" w:w="70"/>
              <w:left w:type="dxa" w:w="110"/>
              <w:bottom w:type="dxa" w:w="70"/>
              <w:right w:type="dxa" w:w="110"/>
            </w:tcMar>
            <w:vAlign w:val="center"/>
          </w:tcPr>
          <w:p>
            <w:pPr>
              <w:spacing w:after="0" w:before="0" w:line="276" w:lineRule="auto"/>
            </w:pPr>
            <w:r>
              <w:rPr>
                <w:sz w:val="18"/>
                <w:szCs w:val="18"/>
              </w:rPr>
              <w:t xml:space="preserve">Esperado</w:t>
            </w:r>
          </w:p>
        </w:tc>
        <w:tc>
          <w:tcPr>
            <w:tcW w:type="dxa" w:w="9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4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2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1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1500"/>
            <w:tcMar>
              <w:top w:type="dxa" w:w="70"/>
              <w:left w:type="dxa" w:w="110"/>
              <w:bottom w:type="dxa" w:w="70"/>
              <w:right w:type="dxa" w:w="110"/>
            </w:tcMar>
            <w:vAlign w:val="center"/>
          </w:tcPr>
          <w:p>
            <w:pPr>
              <w:spacing w:after="0" w:before="0" w:line="276" w:lineRule="auto"/>
            </w:pPr>
            <w:r>
              <w:rPr>
                <w:sz w:val="18"/>
                <w:szCs w:val="18"/>
              </w:rPr>
              <w:t xml:space="preserve">Máximo</w:t>
            </w:r>
          </w:p>
        </w:tc>
        <w:tc>
          <w:tcPr>
            <w:tcW w:type="dxa" w:w="9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3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4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2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1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36"/>
            <w:tcMar>
              <w:top w:type="dxa" w:w="70"/>
              <w:left w:type="dxa" w:w="110"/>
              <w:bottom w:type="dxa" w:w="70"/>
              <w:right w:type="dxa" w:w="110"/>
            </w:tcMar>
            <w:vAlign w:val="center"/>
          </w:tcPr>
          <w:p>
            <w:pPr>
              <w:spacing w:after="0" w:before="0" w:line="276" w:lineRule="auto"/>
            </w:pPr>
            <w:r>
              <w:rPr>
                <w:sz w:val="18"/>
                <w:szCs w:val="18"/>
              </w:rPr>
              <w:t xml:space="preserve"/>
            </w:r>
          </w:p>
        </w:tc>
      </w:tr>
    </w:tbl>
    <w:p>
      <w:pPr>
        <w:spacing w:after="120" w:before="40" w:line="276" w:lineRule="auto"/>
      </w:pPr>
      <w:r>
        <w:t xml:space="preserve">Conclusión sobre la robustez de la recomendación. Si cambia de signo al variar un solo supuesto, decirlo con esas palabras y nombrar el supuesto del que depende: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2E5395" w:sz="14"/>
              <w:left w:val="single" w:color="CFDCEE" w:sz="4"/>
              <w:bottom w:val="single" w:color="CFDCEE" w:sz="4"/>
              <w:right w:val="single" w:color="CFDCEE" w:sz="4"/>
            </w:tcBorders>
            <w:shd w:fill="F2F7FB" w:val="clear"/>
            <w:tcMar>
              <w:top w:type="dxa" w:w="140"/>
              <w:left w:type="dxa" w:w="200"/>
              <w:bottom w:type="dxa" w:w="140"/>
              <w:right w:type="dxa" w:w="200"/>
            </w:tcMar>
          </w:tcPr>
          <w:p>
            <w:pPr>
              <w:spacing w:after="190" w:before="40" w:line="276" w:lineRule="auto"/>
            </w:pPr>
            <w:r>
              <w:t xml:space="preserve"/>
            </w:r>
          </w:p>
          <w:p>
            <w:pPr>
              <w:spacing w:after="190" w:before="40" w:line="276" w:lineRule="auto"/>
            </w:pPr>
            <w:r>
              <w:t xml:space="preserve"/>
            </w:r>
          </w:p>
          <w:p>
            <w:pPr>
              <w:spacing w:after="190" w:before="40" w:line="276" w:lineRule="auto"/>
            </w:pPr>
            <w:r>
              <w:t xml:space="preserve"/>
            </w:r>
          </w:p>
        </w:tc>
      </w:tr>
    </w:tbl>
    <w:p>
      <w:pPr>
        <w:spacing w:after="120"/>
      </w:pPr>
    </w:p>
    <w:p>
      <w:pPr>
        <w:pStyle w:val="Heading1"/>
      </w:pPr>
      <w:r>
        <w:t xml:space="preserve">12. Recomendaciones y decisión solicitada a la dirección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2600"/>
        <w:gridCol w:w="1200"/>
        <w:gridCol w:w="2736"/>
      </w:tblGrid>
      <w:tr>
        <w:trPr>
          <w:tblHeader/>
        </w:trPr>
        <w:tc>
          <w:tcPr>
            <w:tcW w:type="dxa" w:w="5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N.º</w:t>
            </w:r>
          </w:p>
        </w:tc>
        <w:tc>
          <w:tcPr>
            <w:tcW w:type="dxa" w:w="29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Recomendación</w:t>
            </w:r>
          </w:p>
        </w:tc>
        <w:tc>
          <w:tcPr>
            <w:tcW w:type="dxa" w:w="2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Proceso o hallazgo que la origina</w:t>
            </w:r>
          </w:p>
        </w:tc>
        <w:tc>
          <w:tcPr>
            <w:tcW w:type="dxa" w:w="1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Costo</w:t>
            </w:r>
          </w:p>
        </w:tc>
        <w:tc>
          <w:tcPr>
            <w:tcW w:type="dxa" w:w="27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Decisión solicitada</w:t>
            </w:r>
          </w:p>
        </w:tc>
      </w:tr>
      <w:tr>
        <w:trPr>
          <w:cantSplit/>
        </w:trPr>
        <w:tc>
          <w:tcPr>
            <w:tcW w:type="dxa" w:w="5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9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6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736"/>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5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9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6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736"/>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5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9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6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736"/>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5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9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6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736"/>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5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9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6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736"/>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5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9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6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736"/>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bl>
    <w:p>
      <w:pPr>
        <w:spacing w:after="120"/>
      </w:pPr>
    </w:p>
    <w:p>
      <w:pPr>
        <w:pStyle w:val="Heading1"/>
      </w:pPr>
      <w:r>
        <w:t xml:space="preserve">13. Aprobación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600"/>
        <w:gridCol w:w="2336"/>
      </w:tblGrid>
      <w:tr>
        <w:trPr>
          <w:tblHeader/>
        </w:trPr>
        <w:tc>
          <w:tcPr>
            <w:tcW w:type="dxa" w:w="30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Rol</w:t>
            </w:r>
          </w:p>
        </w:tc>
        <w:tc>
          <w:tcPr>
            <w:tcW w:type="dxa" w:w="30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Nombre y cargo</w:t>
            </w:r>
          </w:p>
        </w:tc>
        <w:tc>
          <w:tcPr>
            <w:tcW w:type="dxa" w:w="1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Fecha</w:t>
            </w:r>
          </w:p>
        </w:tc>
        <w:tc>
          <w:tcPr>
            <w:tcW w:type="dxa" w:w="23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Firma</w:t>
            </w:r>
          </w:p>
        </w:tc>
      </w:tr>
      <w:tr>
        <w:trPr>
          <w:cantSplit/>
        </w:trPr>
        <w:tc>
          <w:tcPr>
            <w:tcW w:type="dxa" w:w="3000"/>
            <w:tcMar>
              <w:top w:type="dxa" w:w="70"/>
              <w:left w:type="dxa" w:w="110"/>
              <w:bottom w:type="dxa" w:w="70"/>
              <w:right w:type="dxa" w:w="110"/>
            </w:tcMar>
            <w:vAlign w:val="center"/>
          </w:tcPr>
          <w:p>
            <w:pPr>
              <w:spacing w:after="0" w:before="0" w:line="276" w:lineRule="auto"/>
            </w:pPr>
            <w:r>
              <w:rPr>
                <w:sz w:val="18"/>
                <w:szCs w:val="18"/>
              </w:rPr>
              <w:t xml:space="preserve">Analista responsable del BIA</w:t>
            </w:r>
          </w:p>
        </w:tc>
        <w:tc>
          <w:tcPr>
            <w:tcW w:type="dxa" w:w="30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6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3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000"/>
            <w:shd w:fill="F2F7FB" w:val="clear"/>
            <w:tcMar>
              <w:top w:type="dxa" w:w="70"/>
              <w:left w:type="dxa" w:w="110"/>
              <w:bottom w:type="dxa" w:w="70"/>
              <w:right w:type="dxa" w:w="110"/>
            </w:tcMar>
            <w:vAlign w:val="center"/>
          </w:tcPr>
          <w:p>
            <w:pPr>
              <w:spacing w:after="0" w:before="0" w:line="276" w:lineRule="auto"/>
            </w:pPr>
            <w:r>
              <w:rPr>
                <w:sz w:val="18"/>
                <w:szCs w:val="18"/>
              </w:rPr>
              <w:t xml:space="preserve">Responsable de seguridad de la información</w:t>
            </w:r>
          </w:p>
        </w:tc>
        <w:tc>
          <w:tcPr>
            <w:tcW w:type="dxa" w:w="30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6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3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000"/>
            <w:tcMar>
              <w:top w:type="dxa" w:w="70"/>
              <w:left w:type="dxa" w:w="110"/>
              <w:bottom w:type="dxa" w:w="70"/>
              <w:right w:type="dxa" w:w="110"/>
            </w:tcMar>
            <w:vAlign w:val="center"/>
          </w:tcPr>
          <w:p>
            <w:pPr>
              <w:spacing w:after="0" w:before="0" w:line="276" w:lineRule="auto"/>
            </w:pPr>
            <w:r>
              <w:rPr>
                <w:sz w:val="18"/>
                <w:szCs w:val="18"/>
              </w:rPr>
              <w:t xml:space="preserve">Dirección general</w:t>
            </w:r>
          </w:p>
        </w:tc>
        <w:tc>
          <w:tcPr>
            <w:tcW w:type="dxa" w:w="30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6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336"/>
            <w:tcMar>
              <w:top w:type="dxa" w:w="70"/>
              <w:left w:type="dxa" w:w="110"/>
              <w:bottom w:type="dxa" w:w="70"/>
              <w:right w:type="dxa" w:w="110"/>
            </w:tcMar>
            <w:vAlign w:val="center"/>
          </w:tcPr>
          <w:p>
            <w:pPr>
              <w:spacing w:after="0" w:before="0" w:line="276" w:lineRule="auto"/>
            </w:pPr>
            <w:r>
              <w:rPr>
                <w:sz w:val="18"/>
                <w:szCs w:val="18"/>
              </w:rPr>
              <w:t xml:space="preserve"/>
            </w:r>
          </w:p>
        </w:tc>
      </w:tr>
    </w:tbl>
    <w:p>
      <w:pPr>
        <w:pStyle w:val="Heading1"/>
      </w:pPr>
      <w:r>
        <w:t xml:space="preserve">14. Referencias</w:t>
      </w:r>
    </w:p>
    <w:p>
      <w:pPr>
        <w:pStyle w:val="ListParagraph"/>
        <w:numPr>
          <w:ilvl w:val="0"/>
          <w:numId w:val="2"/>
        </w:numPr>
        <w:spacing w:after="70" w:line="270" w:lineRule="auto"/>
      </w:pPr>
      <w:r>
        <w:t xml:space="preserve">ISO 22301:2019 — Seguridad y resiliencia. Sistemas de gestión de la continuidad del negocio. Requisitos.</w:t>
      </w:r>
    </w:p>
    <w:p>
      <w:pPr>
        <w:pStyle w:val="ListParagraph"/>
        <w:numPr>
          <w:ilvl w:val="0"/>
          <w:numId w:val="2"/>
        </w:numPr>
        <w:spacing w:after="70" w:line="270" w:lineRule="auto"/>
      </w:pPr>
      <w:r>
        <w:t xml:space="preserve">ISO/TS 22317:2021 — Directrices para el análisis de impacto en el negocio. Segunda edición, confirmada vigente en 2025.</w:t>
      </w:r>
    </w:p>
    <w:p>
      <w:pPr>
        <w:pStyle w:val="ListParagraph"/>
        <w:numPr>
          <w:ilvl w:val="0"/>
          <w:numId w:val="2"/>
        </w:numPr>
        <w:spacing w:after="70" w:line="270" w:lineRule="auto"/>
      </w:pPr>
      <w:r>
        <w:t xml:space="preserve">NIST SP 800-34 Rev. 1 — Guía de planificación de contingencia para sistemas de información federales.</w:t>
      </w:r>
    </w:p>
    <w:p>
      <w:pPr>
        <w:pStyle w:val="ListParagraph"/>
        <w:numPr>
          <w:ilvl w:val="0"/>
          <w:numId w:val="2"/>
        </w:numPr>
        <w:spacing w:after="70" w:line="270" w:lineRule="auto"/>
      </w:pPr>
      <w:r>
        <w:t xml:space="preserve">NIST SP 800-30 Rev. 1 — Guía para la conducción de evaluaciones de riesgo.</w:t>
      </w:r>
    </w:p>
    <w:p>
      <w:pPr>
        <w:pStyle w:val="ListParagraph"/>
        <w:numPr>
          <w:ilvl w:val="0"/>
          <w:numId w:val="2"/>
        </w:numPr>
        <w:spacing w:after="70" w:line="270" w:lineRule="auto"/>
      </w:pPr>
      <w:r>
        <w:t xml:space="preserve">NIST CSF 2.0 (2024) — Marco de ciberseguridad, funciones de gobernar, identificar y recuperar.</w:t>
      </w:r>
    </w:p>
    <w:p>
      <w:pPr>
        <w:pStyle w:val="ListParagraph"/>
        <w:numPr>
          <w:ilvl w:val="0"/>
          <w:numId w:val="2"/>
        </w:numPr>
        <w:spacing w:after="70" w:line="270" w:lineRule="auto"/>
      </w:pPr>
      <w:r>
        <w:t xml:space="preserve">CIS Controls v8.1 (2024) — Controles de inventario de activos y de recuperación de datos.</w:t>
      </w:r>
    </w:p>
    <w:p>
      <w:pPr>
        <w:pStyle w:val="ListParagraph"/>
        <w:numPr>
          <w:ilvl w:val="0"/>
          <w:numId w:val="2"/>
        </w:numPr>
        <w:spacing w:after="70" w:line="270" w:lineRule="auto"/>
      </w:pPr>
      <w:r>
        <w:t xml:space="preserve">The Open Group — Risk Taxonomy (O-RT) versión 3.0.1 y Risk Analysis (O-RA) versión 2.0.1, noviembre de 2021.</w:t>
      </w:r>
    </w:p>
    <w:sectPr>
      <w:footerReference w:type="default" r:id="rId7"/>
      <w:pgSz w:w="12240" w:h="15840" w:orient="portrait"/>
      <w:pgMar w:top="1000" w:right="1152" w:bottom="105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before="60"/>
      <w:jc w:val="center"/>
    </w:pPr>
    <w:r>
      <w:rPr>
        <w:color w:val="595959"/>
        <w:sz w:val="16"/>
        <w:szCs w:val="16"/>
      </w:rPr>
      <w:t xml:space="preserve">ESEN – Ciberseguridad · Asignación BIA (Semana 2, v6, 2026) · HectorCuchilla@Protonmail.com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2E5395"/>
      </w:r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30" w:hanging="270"/>
      </w:pPr>
    </w:lvl>
  </w:abstractNum>
  <w:abstractNum w:abstractNumId="4" w15:restartNumberingAfterBreak="0">
    <w:multiLevelType w:val="hybridMultilevel"/>
    <w:lvl w:ilvl="0" w15:tentative="1">
      <w:start w:val="1"/>
      <w:numFmt w:val="decimal"/>
      <w:lvlText w:val="%1."/>
      <w:lvlJc w:val="left"/>
      <w:pPr>
        <w:ind w:left="430" w:hanging="270"/>
      </w:pPr>
    </w:lvl>
  </w:abstractNum>
  <w:abstractNum w:abstractNumId="5" w15:restartNumberingAfterBreak="0">
    <w:multiLevelType w:val="hybridMultilevel"/>
    <w:lvl w:ilvl="0" w15:tentative="1">
      <w:start w:val="1"/>
      <w:numFmt w:val="decimal"/>
      <w:lvlText w:val="%1."/>
      <w:lvlJc w:val="left"/>
      <w:pPr>
        <w:ind w:left="430" w:hanging="270"/>
      </w:pPr>
    </w:lvl>
  </w:abstractNum>
  <w:abstractNum w:abstractNumId="6" w15:restartNumberingAfterBreak="0">
    <w:multiLevelType w:val="hybridMultilevel"/>
    <w:lvl w:ilvl="0" w15:tentative="1">
      <w:start w:val="1"/>
      <w:numFmt w:val="decimal"/>
      <w:lvlText w:val="%1."/>
      <w:lvlJc w:val="left"/>
      <w:pPr>
        <w:ind w:left="430" w:hanging="270"/>
      </w:pPr>
    </w:lvl>
  </w:abstractNum>
  <w:abstractNum w:abstractNumId="7" w15:restartNumberingAfterBreak="0">
    <w:multiLevelType w:val="hybridMultilevel"/>
    <w:lvl w:ilvl="0" w15:tentative="1">
      <w:start w:val="1"/>
      <w:numFmt w:val="decimal"/>
      <w:lvlText w:val="%1."/>
      <w:lvlJc w:val="left"/>
      <w:pPr>
        <w:ind w:left="430" w:hanging="270"/>
      </w:pPr>
    </w:lvl>
  </w:abstractNum>
  <w:abstractNum w:abstractNumId="8" w15:restartNumberingAfterBreak="0">
    <w:multiLevelType w:val="hybridMultilevel"/>
    <w:lvl w:ilvl="0" w15:tentative="1">
      <w:start w:val="1"/>
      <w:numFmt w:val="decimal"/>
      <w:lvlText w:val="%1."/>
      <w:lvlJc w:val="left"/>
      <w:pPr>
        <w:ind w:left="430" w:hanging="270"/>
      </w:pPr>
    </w:lvl>
  </w:abstractNum>
  <w:abstractNum w:abstractNumId="9" w15:restartNumberingAfterBreak="0">
    <w:multiLevelType w:val="hybridMultilevel"/>
    <w:lvl w:ilvl="0" w15:tentative="1">
      <w:start w:val="1"/>
      <w:numFmt w:val="decimal"/>
      <w:lvlText w:val="%1."/>
      <w:lvlJc w:val="left"/>
      <w:pPr>
        <w:ind w:left="430" w:hanging="270"/>
      </w:pPr>
    </w:lvl>
  </w:abstractNum>
  <w:abstractNum w:abstractNumId="10" w15:restartNumberingAfterBreak="0">
    <w:multiLevelType w:val="hybridMultilevel"/>
    <w:lvl w:ilvl="0" w15:tentative="1">
      <w:start w:val="1"/>
      <w:numFmt w:val="decimal"/>
      <w:lvlText w:val="%1."/>
      <w:lvlJc w:val="left"/>
      <w:pPr>
        <w:ind w:left="430" w:hanging="270"/>
      </w:pPr>
    </w:lvl>
  </w:abstractNum>
  <w:abstractNum w:abstractNumId="11" w15:restartNumberingAfterBreak="0">
    <w:multiLevelType w:val="hybridMultilevel"/>
    <w:lvl w:ilvl="0" w15:tentative="1">
      <w:start w:val="1"/>
      <w:numFmt w:val="decimal"/>
      <w:lvlText w:val="%1."/>
      <w:lvlJc w:val="left"/>
      <w:pPr>
        <w:ind w:left="430" w:hanging="270"/>
      </w:pPr>
    </w:lvl>
  </w:abstractNum>
  <w:abstractNum w:abstractNumId="12" w15:restartNumberingAfterBreak="0">
    <w:multiLevelType w:val="hybridMultilevel"/>
    <w:lvl w:ilvl="0" w15:tentative="1">
      <w:start w:val="1"/>
      <w:numFmt w:val="decimal"/>
      <w:lvlText w:val="%1."/>
      <w:lvlJc w:val="left"/>
      <w:pPr>
        <w:ind w:left="430" w:hanging="270"/>
      </w:pPr>
    </w:lvl>
  </w:abstractNum>
  <w:abstractNum w:abstractNumId="13" w15:restartNumberingAfterBreak="0">
    <w:multiLevelType w:val="hybridMultilevel"/>
    <w:lvl w:ilvl="0" w15:tentative="1">
      <w:start w:val="1"/>
      <w:numFmt w:val="decimal"/>
      <w:lvlText w:val="%1."/>
      <w:lvlJc w:val="left"/>
      <w:pPr>
        <w:ind w:left="430" w:hanging="270"/>
      </w:pPr>
    </w:lvl>
  </w:abstractNum>
  <w:abstractNum w:abstractNumId="14" w15:restartNumberingAfterBreak="0">
    <w:multiLevelType w:val="hybridMultilevel"/>
    <w:lvl w:ilvl="0" w15:tentative="1">
      <w:start w:val="1"/>
      <w:numFmt w:val="decimal"/>
      <w:lvlText w:val="%1."/>
      <w:lvlJc w:val="left"/>
      <w:pPr>
        <w:ind w:left="430" w:hanging="270"/>
      </w:pPr>
    </w:lvl>
  </w:abstractNum>
  <w:abstractNum w:abstractNumId="15" w15:restartNumberingAfterBreak="0">
    <w:multiLevelType w:val="hybridMultilevel"/>
    <w:lvl w:ilvl="0" w15:tentative="1">
      <w:start w:val="1"/>
      <w:numFmt w:val="decimal"/>
      <w:lvlText w:val="%1."/>
      <w:lvlJc w:val="left"/>
      <w:pPr>
        <w:ind w:left="430" w:hanging="270"/>
      </w:pPr>
    </w:lvl>
  </w:abstractNum>
  <w:abstractNum w:abstractNumId="16" w15:restartNumberingAfterBreak="0">
    <w:multiLevelType w:val="hybridMultilevel"/>
    <w:lvl w:ilvl="0" w15:tentative="1">
      <w:start w:val="1"/>
      <w:numFmt w:val="decimal"/>
      <w:lvlText w:val="%1."/>
      <w:lvlJc w:val="left"/>
      <w:pPr>
        <w:ind w:left="43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5395" w:sz="8" w:space="2"/>
      </w:pBdr>
      <w:spacing w:after="150" w:before="32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40"/>
      <w:outlineLvl w:val="1"/>
    </w:pPr>
    <w:rPr>
      <w:rFonts w:ascii="Calibri" w:cs="Calibri" w:eastAsia="Calibri" w:hAnsi="Calibri"/>
      <w:b/>
      <w:bCs/>
      <w:color w:val="2E5395"/>
      <w:sz w:val="24"/>
      <w:szCs w:val="24"/>
    </w:rPr>
  </w:style>
  <w:style w:type="paragraph" w:styleId="Heading3">
    <w:name w:val="heading 3"/>
    <w:basedOn w:val="Normal"/>
    <w:next w:val="Normal"/>
    <w:qFormat/>
    <w:pPr>
      <w:keepNext/>
      <w:spacing w:after="80" w:before="17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6c20397667e412b00d78d7702cd5f80d0c093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2026-09-26T23:15:14.199Z</dcterms:created>
  <dcterms:modified xsi:type="dcterms:W3CDTF">2026-09-26T23:15:14.199Z</dcterms:modified>
</cp:coreProperties>
</file>

<file path=docProps/custom.xml><?xml version="1.0" encoding="utf-8"?>
<Properties xmlns="http://schemas.openxmlformats.org/officeDocument/2006/custom-properties" xmlns:vt="http://schemas.openxmlformats.org/officeDocument/2006/docPropsVTypes"/>
</file>