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Control de entregables del Proyecto Final</w:t>
      </w:r>
    </w:p>
    <w:p>
      <w:pPr>
        <w:spacing w:after="120" w:before="40" w:line="276" w:lineRule="auto"/>
      </w:pPr>
      <w:r>
        <w:rPr>
          <w:b/>
          <w:bCs/>
        </w:rPr>
        <w:t xml:space="preserve">Equipo:</w:t>
      </w:r>
      <w:r>
        <w:t xml:space="preserve"> ______________________________________    </w:t>
      </w:r>
      <w:r>
        <w:rPr>
          <w:b/>
          <w:bCs/>
        </w:rPr>
        <w:t xml:space="preserve">Organización asignada:</w:t>
      </w:r>
      <w:r>
        <w:t xml:space="preserve"> ______________________________________    </w:t>
      </w:r>
      <w:r>
        <w:rPr>
          <w:b/>
          <w:bCs/>
        </w:rPr>
        <w:t xml:space="preserve">IG:</w:t>
      </w:r>
      <w:r>
        <w:t xml:space="preserve"> ________</w:t>
      </w:r>
    </w:p>
    <w:p>
      <w:pPr>
        <w:spacing w:after="120" w:before="40" w:line="276" w:lineRule="auto"/>
      </w:pPr>
      <w:r>
        <w:rPr>
          <w:b/>
          <w:bCs/>
        </w:rPr>
        <w:t xml:space="preserve">Integrantes:</w:t>
      </w:r>
      <w:r>
        <w:t xml:space="preserve"> ______________________________________________________________________________________________________________</w:t>
      </w:r>
    </w:p>
    <w:p>
      <w:pPr>
        <w:spacing w:after="60"/>
      </w:pPr>
    </w:p>
    <w:p>
      <w:pPr>
        <w:spacing w:after="120" w:before="40" w:line="276" w:lineRule="auto"/>
      </w:pPr>
      <w:r>
        <w:t xml:space="preserve">Este control es del equipo. Sirve para llevar el pulso del proyecto entregable por entregable y para que nadie se entere tarde de una fecha. No sustituye la Guía del Estudiante del Proyecto Final: las reglas, los pasos y los checklists de cierre de cada entregable están en su sección 9, y la rúbrica en el Anexo J.</w:t>
      </w:r>
    </w:p>
    <w:p>
      <w:pPr>
        <w:pStyle w:val="Heading2"/>
      </w:pPr>
      <w:r>
        <w:t xml:space="preserve">Entregables</w:t>
      </w:r>
    </w:p>
    <w:tbl>
      <w:tblPr>
        <w:tblW w:type="dxa" w:w="98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2900"/>
        <w:gridCol w:w="550"/>
        <w:gridCol w:w="1200"/>
        <w:gridCol w:w="1900"/>
        <w:gridCol w:w="1250"/>
        <w:gridCol w:w="1250"/>
        <w:gridCol w:w="436"/>
      </w:tblGrid>
      <w:tr>
        <w:trPr>
          <w:tblHeader/>
        </w:trPr>
        <w:tc>
          <w:tcPr>
            <w:tcW w:type="dxa" w:w="35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55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tcW w:type="dxa" w:w="12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Semanas de trabajo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 de entrega</w:t>
            </w:r>
          </w:p>
        </w:tc>
        <w:tc>
          <w:tcPr>
            <w:tcW w:type="dxa" w:w="125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Entregado el</w:t>
            </w:r>
          </w:p>
        </w:tc>
        <w:tc>
          <w:tcPr>
            <w:tcW w:type="dxa" w:w="125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436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V.º B.º</w:t>
            </w:r>
          </w:p>
        </w:tc>
      </w:tr>
      <w:tr>
        <w:trPr>
          <w:cantSplit/>
        </w:trPr>
        <w:tc>
          <w:tcPr>
            <w:tcW w:type="dxa" w:w="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☐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E.01 Equipo y organización</w:t>
            </w:r>
          </w:p>
        </w:tc>
        <w:tc>
          <w:tcPr>
            <w:tcW w:type="dxa" w:w="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H1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S1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viernes 25 de septiembre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4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☐</w:t>
            </w:r>
          </w:p>
        </w:tc>
        <w:tc>
          <w:tcPr>
            <w:tcW w:type="dxa" w:w="29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E.02 Compromiso de la dirección y alcance del SGSI</w:t>
            </w:r>
          </w:p>
        </w:tc>
        <w:tc>
          <w:tcPr>
            <w:tcW w:type="dxa" w:w="5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H1</w:t>
            </w:r>
          </w:p>
        </w:tc>
        <w:tc>
          <w:tcPr>
            <w:tcW w:type="dxa" w:w="12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S1–S2</w:t>
            </w:r>
          </w:p>
        </w:tc>
        <w:tc>
          <w:tcPr>
            <w:tcW w:type="dxa" w:w="19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viernes 2 de octubre</w:t>
            </w:r>
          </w:p>
        </w:tc>
        <w:tc>
          <w:tcPr>
            <w:tcW w:type="dxa" w:w="12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2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43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☐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E.03 BIA: procesos críticos y consolidación</w:t>
            </w:r>
          </w:p>
        </w:tc>
        <w:tc>
          <w:tcPr>
            <w:tcW w:type="dxa" w:w="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H2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S2–S4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viernes 16 de octubre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4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☐</w:t>
            </w:r>
          </w:p>
        </w:tc>
        <w:tc>
          <w:tcPr>
            <w:tcW w:type="dxa" w:w="29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E.04 Inventario y clasificación de activos críticos</w:t>
            </w:r>
          </w:p>
        </w:tc>
        <w:tc>
          <w:tcPr>
            <w:tcW w:type="dxa" w:w="5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H2</w:t>
            </w:r>
          </w:p>
        </w:tc>
        <w:tc>
          <w:tcPr>
            <w:tcW w:type="dxa" w:w="12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S3–S4</w:t>
            </w:r>
          </w:p>
        </w:tc>
        <w:tc>
          <w:tcPr>
            <w:tcW w:type="dxa" w:w="19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viernes 16 de octubre</w:t>
            </w:r>
          </w:p>
        </w:tc>
        <w:tc>
          <w:tcPr>
            <w:tcW w:type="dxa" w:w="12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2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43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☐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E.05 Matriz de riesgos</w:t>
            </w:r>
          </w:p>
        </w:tc>
        <w:tc>
          <w:tcPr>
            <w:tcW w:type="dxa" w:w="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H3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S4–S5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viernes 23 de octubre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4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☐</w:t>
            </w:r>
          </w:p>
        </w:tc>
        <w:tc>
          <w:tcPr>
            <w:tcW w:type="dxa" w:w="29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E.06 Matriz RACI</w:t>
            </w:r>
          </w:p>
        </w:tc>
        <w:tc>
          <w:tcPr>
            <w:tcW w:type="dxa" w:w="5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H3</w:t>
            </w:r>
          </w:p>
        </w:tc>
        <w:tc>
          <w:tcPr>
            <w:tcW w:type="dxa" w:w="12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S5</w:t>
            </w:r>
          </w:p>
        </w:tc>
        <w:tc>
          <w:tcPr>
            <w:tcW w:type="dxa" w:w="19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viernes 23 de octubre</w:t>
            </w:r>
          </w:p>
        </w:tc>
        <w:tc>
          <w:tcPr>
            <w:tcW w:type="dxa" w:w="12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2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43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☐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E.07 Seis controles a profundidad (política + SOP + controles)</w:t>
            </w:r>
          </w:p>
        </w:tc>
        <w:tc>
          <w:tcPr>
            <w:tcW w:type="dxa" w:w="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H4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S6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viernes 30 de octubre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4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☐</w:t>
            </w:r>
          </w:p>
        </w:tc>
        <w:tc>
          <w:tcPr>
            <w:tcW w:type="dxa" w:w="29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E.08 Baseline según el Grupo de Implementación asignado</w:t>
            </w:r>
          </w:p>
        </w:tc>
        <w:tc>
          <w:tcPr>
            <w:tcW w:type="dxa" w:w="5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H4</w:t>
            </w:r>
          </w:p>
        </w:tc>
        <w:tc>
          <w:tcPr>
            <w:tcW w:type="dxa" w:w="12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S6–S7</w:t>
            </w:r>
          </w:p>
        </w:tc>
        <w:tc>
          <w:tcPr>
            <w:tcW w:type="dxa" w:w="19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viernes 6 de noviembre</w:t>
            </w:r>
          </w:p>
        </w:tc>
        <w:tc>
          <w:tcPr>
            <w:tcW w:type="dxa" w:w="12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2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43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☐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E.09 Indicadores de cumplimiento y auditoría interna</w:t>
            </w:r>
          </w:p>
        </w:tc>
        <w:tc>
          <w:tcPr>
            <w:tcW w:type="dxa" w:w="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H4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S7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viernes 6 de noviembre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4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☐</w:t>
            </w:r>
          </w:p>
        </w:tc>
        <w:tc>
          <w:tcPr>
            <w:tcW w:type="dxa" w:w="29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E.10 Roadmap de madurez hacia el IG asignado</w:t>
            </w:r>
          </w:p>
        </w:tc>
        <w:tc>
          <w:tcPr>
            <w:tcW w:type="dxa" w:w="5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H5</w:t>
            </w:r>
          </w:p>
        </w:tc>
        <w:tc>
          <w:tcPr>
            <w:tcW w:type="dxa" w:w="12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S8</w:t>
            </w:r>
          </w:p>
        </w:tc>
        <w:tc>
          <w:tcPr>
            <w:tcW w:type="dxa" w:w="19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miércoles 11 de noviembre</w:t>
            </w:r>
          </w:p>
        </w:tc>
        <w:tc>
          <w:tcPr>
            <w:tcW w:type="dxa" w:w="12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2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43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☐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E.11 Documento final integrado</w:t>
            </w:r>
          </w:p>
        </w:tc>
        <w:tc>
          <w:tcPr>
            <w:tcW w:type="dxa" w:w="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H5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S8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miércoles 11 de noviembre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4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☐</w:t>
            </w:r>
          </w:p>
        </w:tc>
        <w:tc>
          <w:tcPr>
            <w:tcW w:type="dxa" w:w="29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E.12 Presentación ejecutiva y defensa oral</w:t>
            </w:r>
          </w:p>
        </w:tc>
        <w:tc>
          <w:tcPr>
            <w:tcW w:type="dxa" w:w="5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H6</w:t>
            </w:r>
          </w:p>
        </w:tc>
        <w:tc>
          <w:tcPr>
            <w:tcW w:type="dxa" w:w="12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12–14 de noviembre</w:t>
            </w:r>
          </w:p>
        </w:tc>
        <w:tc>
          <w:tcPr>
            <w:tcW w:type="dxa" w:w="19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fecha y hora asignadas por el docente</w:t>
            </w:r>
          </w:p>
        </w:tc>
        <w:tc>
          <w:tcPr>
            <w:tcW w:type="dxa" w:w="12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2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43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</w:tr>
    </w:tbl>
    <w:p>
      <w:pPr>
        <w:spacing w:after="120" w:before="40" w:line="276" w:lineRule="auto"/>
      </w:pPr>
      <w:r>
        <w:t xml:space="preserve">La </w:t>
      </w:r>
      <w:r>
        <w:rPr>
          <w:b/>
          <w:bCs/>
        </w:rPr>
        <w:t xml:space="preserve">Fecha de entrega</w:t>
      </w:r>
      <w:r>
        <w:t xml:space="preserve"> es la que ordena el trabajo de la semana y la que se revisa en la asesoría. El </w:t>
      </w:r>
      <w:r>
        <w:rPr>
          <w:b/>
          <w:bCs/>
        </w:rPr>
        <w:t xml:space="preserve">Responsable</w:t>
      </w:r>
      <w:r>
        <w:t xml:space="preserve"> es el integrante que responde por el entregable ante el equipo; el trabajo sigue siendo colectivo y en la defensa cualquier integrante responde por cualquier parte. El </w:t>
      </w:r>
      <w:r>
        <w:rPr>
          <w:b/>
          <w:bCs/>
        </w:rPr>
        <w:t xml:space="preserve">V.º B.º</w:t>
      </w:r>
      <w:r>
        <w:t xml:space="preserve"> lo pone el oficial de calidad cuando el checklist de cierre de la sección 9 quedó en verde.</w:t>
      </w:r>
    </w:p>
    <w:p>
      <w:pPr>
        <w:pStyle w:val="Heading2"/>
      </w:pPr>
      <w:r>
        <w:t xml:space="preserve">Versiones 1.1 que viajan con el entregable siguiente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4300"/>
        <w:gridCol w:w="1150"/>
        <w:gridCol w:w="1900"/>
        <w:gridCol w:w="1250"/>
        <w:gridCol w:w="986"/>
      </w:tblGrid>
      <w:tr>
        <w:trPr>
          <w:tblHeader/>
        </w:trPr>
        <w:tc>
          <w:tcPr>
            <w:tcW w:type="dxa" w:w="35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43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Versión 1.1</w:t>
            </w:r>
          </w:p>
        </w:tc>
        <w:tc>
          <w:tcPr>
            <w:tcW w:type="dxa" w:w="115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 entrega junto con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125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Entregado el</w:t>
            </w:r>
          </w:p>
        </w:tc>
        <w:tc>
          <w:tcPr>
            <w:tcW w:type="dxa" w:w="986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V.º B.º</w:t>
            </w:r>
          </w:p>
        </w:tc>
      </w:tr>
      <w:tr>
        <w:trPr>
          <w:cantSplit/>
        </w:trPr>
        <w:tc>
          <w:tcPr>
            <w:tcW w:type="dxa" w:w="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☐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E.01 Acta, versión 1.1: organización asignada, IG y fecha de asignación, tomados del registro del lunes 28 de septiembre</w:t>
            </w:r>
          </w:p>
        </w:tc>
        <w:tc>
          <w:tcPr>
            <w:tcW w:type="dxa" w:w="1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E.02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Viernes 2 de octubre de 2026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8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☐</w:t>
            </w:r>
          </w:p>
        </w:tc>
        <w:tc>
          <w:tcPr>
            <w:tcW w:type="dxa" w:w="43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E.02, versión 1.1: sección A.3, revisión del alcance con el resultado del BIA</w:t>
            </w:r>
          </w:p>
        </w:tc>
        <w:tc>
          <w:tcPr>
            <w:tcW w:type="dxa" w:w="11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E.03</w:t>
            </w:r>
          </w:p>
        </w:tc>
        <w:tc>
          <w:tcPr>
            <w:tcW w:type="dxa" w:w="19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Viernes 16 de octubre de 2026</w:t>
            </w:r>
          </w:p>
        </w:tc>
        <w:tc>
          <w:tcPr>
            <w:tcW w:type="dxa" w:w="12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8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☐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E.03 y BIA_P07, versión 1.1: secciones 8 a 11 del informe ejecutivo, marcadas «se completa con E.05» en H2</w:t>
            </w:r>
          </w:p>
        </w:tc>
        <w:tc>
          <w:tcPr>
            <w:tcW w:type="dxa" w:w="1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E.05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Viernes 23 de octubre de 2026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8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☐</w:t>
            </w:r>
          </w:p>
        </w:tc>
        <w:tc>
          <w:tcPr>
            <w:tcW w:type="dxa" w:w="43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E.04, versión 1.1: cierre de la comprobación de que cada activo aparece en la matriz de riesgos</w:t>
            </w:r>
          </w:p>
        </w:tc>
        <w:tc>
          <w:tcPr>
            <w:tcW w:type="dxa" w:w="11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E.05</w:t>
            </w:r>
          </w:p>
        </w:tc>
        <w:tc>
          <w:tcPr>
            <w:tcW w:type="dxa" w:w="19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Viernes 23 de octubre de 2026</w:t>
            </w:r>
          </w:p>
        </w:tc>
        <w:tc>
          <w:tcPr>
            <w:tcW w:type="dxa" w:w="12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8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</w:tr>
    </w:tbl>
    <w:p>
      <w:pPr>
        <w:spacing w:after="120" w:before="40" w:line="276" w:lineRule="auto"/>
      </w:pPr>
      <w:r>
        <w:t xml:space="preserve">Una versión 1.1 completa el entregable con información que aparece después de su fecha de entrega; lo que cambia en ella está en la ficha del entregable, en la sección 9 de la Guía del Estudiante del Proyecto Final.</w:t>
      </w:r>
    </w:p>
    <w:p>
      <w:pPr>
        <w:pStyle w:val="Heading2"/>
      </w:pPr>
      <w:r>
        <w:t xml:space="preserve">Hitos y peso en la nota</w:t>
      </w:r>
    </w:p>
    <w:tbl>
      <w:tblPr>
        <w:tblW w:type="dxa" w:w="92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50"/>
        <w:gridCol w:w="2650"/>
        <w:gridCol w:w="1750"/>
        <w:gridCol w:w="1200"/>
        <w:gridCol w:w="900"/>
        <w:gridCol w:w="1186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tcW w:type="dxa" w:w="95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Semanas</w:t>
            </w:r>
          </w:p>
        </w:tc>
        <w:tc>
          <w:tcPr>
            <w:tcW w:type="dxa" w:w="265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 de entrega</w:t>
            </w:r>
          </w:p>
        </w:tc>
        <w:tc>
          <w:tcPr>
            <w:tcW w:type="dxa" w:w="175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Entregables</w:t>
            </w:r>
          </w:p>
        </w:tc>
        <w:tc>
          <w:tcPr>
            <w:tcW w:type="dxa" w:w="12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1186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☐ Entregado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H1</w:t>
            </w:r>
          </w:p>
        </w:tc>
        <w:tc>
          <w:tcPr>
            <w:tcW w:type="dxa" w:w="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S1–S2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viernes 25 de septiembre (E.01) y viernes 2 de octubre (E.02)</w:t>
            </w:r>
          </w:p>
        </w:tc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E.01, E.02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Fase 0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3 %</w:t>
            </w:r>
          </w:p>
        </w:tc>
        <w:tc>
          <w:tcPr>
            <w:tcW w:type="dxa" w:w="118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H2</w:t>
            </w:r>
          </w:p>
        </w:tc>
        <w:tc>
          <w:tcPr>
            <w:tcW w:type="dxa" w:w="9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S2–S4</w:t>
            </w:r>
          </w:p>
        </w:tc>
        <w:tc>
          <w:tcPr>
            <w:tcW w:type="dxa" w:w="26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viernes 16 de octubre</w:t>
            </w:r>
          </w:p>
        </w:tc>
        <w:tc>
          <w:tcPr>
            <w:tcW w:type="dxa" w:w="17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E.03, E.04</w:t>
            </w:r>
          </w:p>
        </w:tc>
        <w:tc>
          <w:tcPr>
            <w:tcW w:type="dxa" w:w="12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PLAN</w:t>
            </w:r>
          </w:p>
        </w:tc>
        <w:tc>
          <w:tcPr>
            <w:tcW w:type="dxa" w:w="9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5 %</w:t>
            </w:r>
          </w:p>
        </w:tc>
        <w:tc>
          <w:tcPr>
            <w:tcW w:type="dxa" w:w="118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H3</w:t>
            </w:r>
          </w:p>
        </w:tc>
        <w:tc>
          <w:tcPr>
            <w:tcW w:type="dxa" w:w="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S4–S5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viernes 23 de octubre</w:t>
            </w:r>
          </w:p>
        </w:tc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E.05, E.06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PLAN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5 %</w:t>
            </w:r>
          </w:p>
        </w:tc>
        <w:tc>
          <w:tcPr>
            <w:tcW w:type="dxa" w:w="118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H4</w:t>
            </w:r>
          </w:p>
        </w:tc>
        <w:tc>
          <w:tcPr>
            <w:tcW w:type="dxa" w:w="9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S6–S7</w:t>
            </w:r>
          </w:p>
        </w:tc>
        <w:tc>
          <w:tcPr>
            <w:tcW w:type="dxa" w:w="26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viernes 30 de octubre (E.07) y viernes 6 de noviembre (E.08, E.09)</w:t>
            </w:r>
          </w:p>
        </w:tc>
        <w:tc>
          <w:tcPr>
            <w:tcW w:type="dxa" w:w="17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E.07, E.08, E.09</w:t>
            </w:r>
          </w:p>
        </w:tc>
        <w:tc>
          <w:tcPr>
            <w:tcW w:type="dxa" w:w="12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DO / CHECK</w:t>
            </w:r>
          </w:p>
        </w:tc>
        <w:tc>
          <w:tcPr>
            <w:tcW w:type="dxa" w:w="9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7 %</w:t>
            </w:r>
          </w:p>
        </w:tc>
        <w:tc>
          <w:tcPr>
            <w:tcW w:type="dxa" w:w="118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H5</w:t>
            </w:r>
          </w:p>
        </w:tc>
        <w:tc>
          <w:tcPr>
            <w:tcW w:type="dxa" w:w="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S8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miércoles 11 de noviembre</w:t>
            </w:r>
          </w:p>
        </w:tc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E.10, E.11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ACT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15 % (J.2)</w:t>
            </w:r>
          </w:p>
        </w:tc>
        <w:tc>
          <w:tcPr>
            <w:tcW w:type="dxa" w:w="118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H6</w:t>
            </w:r>
          </w:p>
        </w:tc>
        <w:tc>
          <w:tcPr>
            <w:tcW w:type="dxa" w:w="9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Semana de defensa (S8)</w:t>
            </w:r>
          </w:p>
        </w:tc>
        <w:tc>
          <w:tcPr>
            <w:tcW w:type="dxa" w:w="26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12 al 14 de noviembre</w:t>
            </w:r>
          </w:p>
        </w:tc>
        <w:tc>
          <w:tcPr>
            <w:tcW w:type="dxa" w:w="17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E.12</w:t>
            </w:r>
          </w:p>
        </w:tc>
        <w:tc>
          <w:tcPr>
            <w:tcW w:type="dxa" w:w="12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Defensa</w:t>
            </w:r>
          </w:p>
        </w:tc>
        <w:tc>
          <w:tcPr>
            <w:tcW w:type="dxa" w:w="9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10 % (J.3)</w:t>
            </w:r>
          </w:p>
        </w:tc>
        <w:tc>
          <w:tcPr>
            <w:tcW w:type="dxa" w:w="118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☐</w:t>
            </w:r>
          </w:p>
        </w:tc>
      </w:tr>
    </w:tbl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300"/>
        <w:gridCol w:w="4836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Entregables</w:t>
            </w:r>
          </w:p>
        </w:tc>
        <w:tc>
          <w:tcPr>
            <w:tcW w:type="dxa" w:w="13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Horas de equipo</w:t>
            </w:r>
          </w:p>
        </w:tc>
        <w:tc>
          <w:tcPr>
            <w:tcW w:type="dxa" w:w="4836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Detalle medido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H1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E.01, E.02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type="dxa" w:w="48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E.01, 2 · E.02, 6</w:t>
            </w:r>
          </w:p>
        </w:tc>
      </w:tr>
      <w:tr>
        <w:trPr>
          <w:cantSplit/>
        </w:trPr>
        <w:tc>
          <w:tcPr>
            <w:tcW w:type="dxa" w:w="8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H2</w:t>
            </w:r>
          </w:p>
        </w:tc>
        <w:tc>
          <w:tcPr>
            <w:tcW w:type="dxa" w:w="30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E.03 con BIA_P01–P07, E.04</w:t>
            </w:r>
          </w:p>
        </w:tc>
        <w:tc>
          <w:tcPr>
            <w:tcW w:type="dxa" w:w="13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44</w:t>
            </w:r>
          </w:p>
        </w:tc>
        <w:tc>
          <w:tcPr>
            <w:tcW w:type="dxa" w:w="483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E.03, 38 (BIA_P02 toma 10 y BIA_P03, 6) · E.04, 6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H3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E.05, E.06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25</w:t>
            </w:r>
          </w:p>
        </w:tc>
        <w:tc>
          <w:tcPr>
            <w:tcW w:type="dxa" w:w="48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E.05, 20 · E.06, 5</w:t>
            </w:r>
          </w:p>
        </w:tc>
      </w:tr>
      <w:tr>
        <w:trPr>
          <w:cantSplit/>
        </w:trPr>
        <w:tc>
          <w:tcPr>
            <w:tcW w:type="dxa" w:w="8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H4</w:t>
            </w:r>
          </w:p>
        </w:tc>
        <w:tc>
          <w:tcPr>
            <w:tcW w:type="dxa" w:w="30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E.07, E.08, E.09</w:t>
            </w:r>
          </w:p>
        </w:tc>
        <w:tc>
          <w:tcPr>
            <w:tcW w:type="dxa" w:w="13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68</w:t>
            </w:r>
          </w:p>
        </w:tc>
        <w:tc>
          <w:tcPr>
            <w:tcW w:type="dxa" w:w="483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E.07, 42 (unas 7 por control) · E.09, 8 · E.08, el resto, con la tabla G.2 precargada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S6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Ensamblaje parcial de E.11 (secciones 1–7)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type="dxa" w:w="48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Se adelanta a la S6 para descargar la S8</w:t>
            </w:r>
          </w:p>
        </w:tc>
      </w:tr>
      <w:tr>
        <w:trPr>
          <w:cantSplit/>
        </w:trPr>
        <w:tc>
          <w:tcPr>
            <w:tcW w:type="dxa" w:w="8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H5</w:t>
            </w:r>
          </w:p>
        </w:tc>
        <w:tc>
          <w:tcPr>
            <w:tcW w:type="dxa" w:w="30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E.10, E.11</w:t>
            </w:r>
          </w:p>
        </w:tc>
        <w:tc>
          <w:tcPr>
            <w:tcW w:type="dxa" w:w="13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type="dxa" w:w="483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E.10, 10 · cierre del ensamblaje de E.11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H6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E.12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type="dxa" w:w="48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Guion, reparto, ensayos y preparación de respuestas</w:t>
            </w:r>
          </w:p>
        </w:tc>
      </w:tr>
      <w:tr>
        <w:trPr>
          <w:cantSplit/>
        </w:trPr>
        <w:tc>
          <w:tcPr>
            <w:tcW w:type="dxa" w:w="8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Total</w:t>
            </w:r>
          </w:p>
        </w:tc>
        <w:tc>
          <w:tcPr>
            <w:tcW w:type="dxa" w:w="30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Proyecto completo</w:t>
            </w:r>
          </w:p>
        </w:tc>
        <w:tc>
          <w:tcPr>
            <w:tcW w:type="dxa" w:w="13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179</w:t>
            </w:r>
          </w:p>
        </w:tc>
        <w:tc>
          <w:tcPr>
            <w:tcW w:type="dxa" w:w="483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Unas 30 horas por integrante en un equipo de seis</w:t>
            </w:r>
          </w:p>
        </w:tc>
      </w:tr>
    </w:tbl>
    <w:p>
      <w:pPr>
        <w:spacing w:after="120" w:before="40" w:line="276" w:lineRule="auto"/>
      </w:pPr>
      <w:r>
        <w:t xml:space="preserve">Las horas de equipo suman el trabajo de todos los integrantes; salen de la simulación de cátedra del 17 de septiembre de 2026 y la sección 6 de la Guía del Estudiante del Proyecto Final las detalla.</w:t>
      </w:r>
    </w:p>
    <w:p>
      <w:pPr>
        <w:spacing w:after="120" w:before="40" w:line="276" w:lineRule="auto"/>
      </w:pPr>
      <w:r>
        <w:t xml:space="preserve">El Proyecto Final vale el 45 % del curso: 20 % los entregables parciales (J.1), 15 % el informe final (J.2) y 10 % la defensa oral (J.3).</w:t>
      </w:r>
    </w:p>
    <w:p>
      <w:pPr>
        <w:pStyle w:val="Heading2"/>
      </w:pPr>
      <w:r>
        <w:t xml:space="preserve">Control de la semana</w:t>
      </w:r>
    </w:p>
    <w:p>
      <w:pPr>
        <w:spacing w:after="120" w:before="40" w:line="276" w:lineRule="auto"/>
      </w:pPr>
      <w:r>
        <w:t xml:space="preserve">Una línea por semana, llenada en la asesoría de treinta minutos. La columna de riesgo es la que evita las sorpresas: se marca en rojo apenas un entregable se percibe en duda, para que la asesoría de esa semana se dedique a eso.</w:t>
      </w:r>
    </w:p>
    <w:tbl>
      <w:tblPr>
        <w:tblW w:type="dxa" w:w="98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50"/>
        <w:gridCol w:w="3500"/>
        <w:gridCol w:w="2400"/>
        <w:gridCol w:w="1886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135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Fechas</w:t>
            </w:r>
          </w:p>
        </w:tc>
        <w:tc>
          <w:tcPr>
            <w:tcW w:type="dxa" w:w="35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 qué se trabaja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Avance al cierre de la semana</w:t>
            </w:r>
          </w:p>
        </w:tc>
        <w:tc>
          <w:tcPr>
            <w:tcW w:type="dxa" w:w="1886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Riesgo (verde / ámbar / rojo)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S1</w:t>
            </w:r>
          </w:p>
        </w:tc>
        <w:tc>
          <w:tcPr>
            <w:tcW w:type="dxa" w:w="1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21–27 sep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E.01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88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S2</w:t>
            </w:r>
          </w:p>
        </w:tc>
        <w:tc>
          <w:tcPr>
            <w:tcW w:type="dxa" w:w="13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28 sep – 4 oct</w:t>
            </w:r>
          </w:p>
        </w:tc>
        <w:tc>
          <w:tcPr>
            <w:tcW w:type="dxa" w:w="35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E.02 · arranque de E.03 (BIA)</w:t>
            </w:r>
          </w:p>
        </w:tc>
        <w:tc>
          <w:tcPr>
            <w:tcW w:type="dxa" w:w="24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88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S3</w:t>
            </w:r>
          </w:p>
        </w:tc>
        <w:tc>
          <w:tcPr>
            <w:tcW w:type="dxa" w:w="1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5–11 oct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E.03 · E.04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88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S4</w:t>
            </w:r>
          </w:p>
        </w:tc>
        <w:tc>
          <w:tcPr>
            <w:tcW w:type="dxa" w:w="13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12–18 oct</w:t>
            </w:r>
          </w:p>
        </w:tc>
        <w:tc>
          <w:tcPr>
            <w:tcW w:type="dxa" w:w="35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E.03 · E.04 · arranque de E.05</w:t>
            </w:r>
          </w:p>
        </w:tc>
        <w:tc>
          <w:tcPr>
            <w:tcW w:type="dxa" w:w="24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88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S5</w:t>
            </w:r>
          </w:p>
        </w:tc>
        <w:tc>
          <w:tcPr>
            <w:tcW w:type="dxa" w:w="1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19–25 oct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E.05 · E.06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88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S6</w:t>
            </w:r>
          </w:p>
        </w:tc>
        <w:tc>
          <w:tcPr>
            <w:tcW w:type="dxa" w:w="13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26 oct – 1 nov</w:t>
            </w:r>
          </w:p>
        </w:tc>
        <w:tc>
          <w:tcPr>
            <w:tcW w:type="dxa" w:w="35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E.07 · inicio del ensamblaje parcial de E.11 (secciones 1–7)</w:t>
            </w:r>
          </w:p>
        </w:tc>
        <w:tc>
          <w:tcPr>
            <w:tcW w:type="dxa" w:w="24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88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S7</w:t>
            </w:r>
          </w:p>
        </w:tc>
        <w:tc>
          <w:tcPr>
            <w:tcW w:type="dxa" w:w="1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2–8 nov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E.08 · E.09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88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S8</w:t>
            </w:r>
          </w:p>
        </w:tc>
        <w:tc>
          <w:tcPr>
            <w:tcW w:type="dxa" w:w="13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9–15 nov</w:t>
            </w:r>
          </w:p>
        </w:tc>
        <w:tc>
          <w:tcPr>
            <w:tcW w:type="dxa" w:w="35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>E.10 · E.11 · defensa E.12</w:t>
            </w:r>
          </w:p>
        </w:tc>
        <w:tc>
          <w:tcPr>
            <w:tcW w:type="dxa" w:w="24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88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</w:tr>
    </w:tbl>
    <w:p>
      <w:pPr>
        <w:pStyle w:val="Heading2"/>
      </w:pPr>
      <w:r>
        <w:t xml:space="preserve">Puntos de control que se pasan por alto</w:t>
      </w:r>
    </w:p>
    <w:p>
      <w:pPr>
        <w:spacing w:after="80"/>
        <w:ind w:left="240"/>
      </w:pPr>
      <w:r>
        <w:t xml:space="preserve">☐   </w:t>
      </w:r>
      <w:r>
        <w:t xml:space="preserve">La organización asignada por el docente quedó registrada en E.01 con su fecha y su Grupo de Implementación.</w:t>
      </w:r>
    </w:p>
    <w:p>
      <w:pPr>
        <w:spacing w:after="80"/>
        <w:ind w:left="240"/>
      </w:pPr>
      <w:r>
        <w:t xml:space="preserve">☐   </w:t>
      </w:r>
      <w:r>
        <w:t xml:space="preserve">El ensamblaje parcial de las secciones 1–7 del documento final arrancó en la S6, sin esperar a la S8.</w:t>
      </w:r>
    </w:p>
    <w:p>
      <w:pPr>
        <w:spacing w:after="80"/>
        <w:ind w:left="240"/>
      </w:pPr>
      <w:r>
        <w:t xml:space="preserve">☐   </w:t>
      </w:r>
      <w:r>
        <w:t xml:space="preserve">Cada entregable se subió a Moodle con el nombre normalizado que indica su ficha de la sección 9.</w:t>
      </w:r>
    </w:p>
    <w:p>
      <w:pPr>
        <w:spacing w:after="80"/>
        <w:ind w:left="240"/>
      </w:pPr>
      <w:r>
        <w:t xml:space="preserve">☐   </w:t>
      </w:r>
      <w:r>
        <w:t xml:space="preserve">Todo dato que no está en el perfil ni en la ficha de datos del cliente quedó declarado como supuesto, con su identificador global S-nn; ningún dato de la ficha se sustituyó por un supuesto.</w:t>
      </w:r>
    </w:p>
    <w:p>
      <w:pPr>
        <w:spacing w:after="80"/>
        <w:ind w:left="240"/>
      </w:pPr>
      <w:r>
        <w:t xml:space="preserve">☐   </w:t>
      </w:r>
      <w:r>
        <w:t xml:space="preserve">Los seis controles de E.07 y el baseline de E.08 suman las 153 salvaguardas del IG asignado, sin repetir ninguna.</w:t>
      </w:r>
    </w:p>
    <w:p>
      <w:pPr>
        <w:spacing w:after="80"/>
        <w:ind w:left="240"/>
      </w:pPr>
      <w:r>
        <w:t xml:space="preserve">☐   </w:t>
      </w:r>
      <w:r>
        <w:t xml:space="preserve">Todos los integrantes ensayaron la defensa completa: cualquiera responde por cualquier parte.</w:t>
      </w:r>
    </w:p>
    <w:p>
      <w:pPr>
        <w:spacing w:after="60"/>
      </w:pPr>
    </w:p>
    <w:p>
      <w:pPr>
        <w:spacing w:after="120" w:before="40" w:line="276" w:lineRule="auto"/>
      </w:pPr>
      <w:r>
        <w:rPr>
          <w:b/>
          <w:bCs/>
        </w:rPr>
        <w:t xml:space="preserve">Firma del consultor líder:</w:t>
      </w:r>
      <w:r>
        <w:t xml:space="preserve"> ____________________________    </w:t>
      </w:r>
      <w:r>
        <w:rPr>
          <w:b/>
          <w:bCs/>
        </w:rPr>
        <w:t xml:space="preserve">Fecha:</w:t>
      </w:r>
      <w:r>
        <w:t xml:space="preserve"> ______________</w:t>
      </w:r>
    </w:p>
    <w:sectPr>
      <w:footerReference w:type="default" r:id="rId7"/>
      <w:pgSz w:w="12240" w:h="15840" w:orient="portrait"/>
      <w:pgMar w:top="1000" w:right="1152" w:bottom="105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2"/>
      </w:pBdr>
      <w:spacing w:before="60"/>
      <w:jc w:val="center"/>
    </w:pPr>
    <w:r>
      <w:rPr>
        <w:color w:val="595959"/>
        <w:sz w:val="16"/>
        <w:szCs w:val="16"/>
      </w:rPr>
      <w:t xml:space="preserve">ESEN – Ciberseguridad · Control de entregables del Proyecto Final (2026) · HectorCuchilla@Protonmail.com   ·  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  <w:rPr>
        <w:color w:val="2E5395"/>
      </w:rPr>
    </w:lvl>
    <w:lvl w:ilvl="1" w15:tentative="1">
      <w:start w:val="1"/>
      <w:numFmt w:val="bullet"/>
      <w:lvlText w:val="–"/>
      <w:lvlJc w:val="left"/>
      <w:pPr>
        <w:ind w:left="7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7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7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7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7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7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7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7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7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7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7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E5395" w:sz="8" w:space="2"/>
      </w:pBdr>
      <w:spacing w:after="150" w:before="32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2E5395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17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2026-09-26T23:15:16.636Z</dcterms:created>
  <dcterms:modified xsi:type="dcterms:W3CDTF">2026-09-26T23:15:16.637Z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