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Guida sviluppatore: dashboard ARDECO Lombardia in Power BI</w:t>
      </w:r>
    </w:p>
    <w:p>
      <w:pPr>
        <w:pStyle w:val="Author"/>
      </w:pPr>
      <w:r>
        <w:t xml:space="preserve">Giampaolo Montaletti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introduzione-e-obiettivo"/>
    <w:p>
      <w:pPr>
        <w:pStyle w:val="Heading1"/>
      </w:pPr>
      <w:r>
        <w:t xml:space="preserve">1. Introduzione e obiettivo</w:t>
      </w:r>
    </w:p>
    <w:bookmarkStart w:id="20" w:name="contesto"/>
    <w:p>
      <w:pPr>
        <w:pStyle w:val="Heading2"/>
      </w:pPr>
      <w:r>
        <w:t xml:space="preserve">1.1 Contesto</w:t>
      </w:r>
    </w:p>
    <w:p>
      <w:pPr>
        <w:pStyle w:val="FirstParagraph"/>
      </w:pPr>
      <w:r>
        <w:t xml:space="preserve">ARDECO (</w:t>
      </w:r>
      <w:r>
        <w:rPr>
          <w:i/>
          <w:iCs/>
        </w:rPr>
        <w:t xml:space="preserve">Annual Regional Database of the European Commission</w:t>
      </w:r>
      <w:r>
        <w:t xml:space="preserve">) è il database</w:t>
      </w:r>
      <w:r>
        <w:t xml:space="preserve"> </w:t>
      </w:r>
      <w:r>
        <w:t xml:space="preserve">regionale gestito dal Joint Research Centre. Il presente progetto espone un</w:t>
      </w:r>
      <w:r>
        <w:t xml:space="preserve"> </w:t>
      </w:r>
      <w:r>
        <w:t xml:space="preserve">sottoinsieme tematico di 57 variabili focalizzato sulla regione NUTS-2</w:t>
      </w:r>
      <w:r>
        <w:t xml:space="preserve"> </w:t>
      </w:r>
      <w:r>
        <w:rPr>
          <w:b/>
          <w:bCs/>
        </w:rPr>
        <w:t xml:space="preserve">ITC4 (Lombardia)</w:t>
      </w:r>
      <w:r>
        <w:t xml:space="preserve"> </w:t>
      </w:r>
      <w:r>
        <w:t xml:space="preserve">e sulle 12 province NUTS-3 che la compongono</w:t>
      </w:r>
      <w:r>
        <w:t xml:space="preserve"> </w:t>
      </w:r>
      <w:r>
        <w:t xml:space="preserve">(ITC41–ITC4D). La dashboard di riferimento è implementata in R come</w:t>
      </w:r>
      <w:r>
        <w:t xml:space="preserve"> </w:t>
      </w:r>
      <w:r>
        <w:rPr>
          <w:rStyle w:val="VerbatimChar"/>
        </w:rPr>
        <w:t xml:space="preserve">flexdashboard + Shiny</w:t>
      </w:r>
      <w:r>
        <w:t xml:space="preserve"> </w:t>
      </w:r>
      <w:r>
        <w:t xml:space="preserve">e legge i dati da DuckDB; il codice sorgente si trova</w:t>
      </w:r>
      <w:r>
        <w:t xml:space="preserve"> </w:t>
      </w:r>
      <w:r>
        <w:t xml:space="preserve">nella cartella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del repository.</w:t>
      </w:r>
    </w:p>
    <w:bookmarkEnd w:id="20"/>
    <w:bookmarkStart w:id="21" w:name="obiettivo-del-documento"/>
    <w:p>
      <w:pPr>
        <w:pStyle w:val="Heading2"/>
      </w:pPr>
      <w:r>
        <w:t xml:space="preserve">1.2 Obiettivo del documento</w:t>
      </w:r>
    </w:p>
    <w:p>
      <w:pPr>
        <w:pStyle w:val="FirstParagraph"/>
      </w:pPr>
      <w:r>
        <w:t xml:space="preserve">Questa guida descrive come realizzare una dashboard</w:t>
      </w:r>
      <w:r>
        <w:t xml:space="preserve"> </w:t>
      </w:r>
      <w:r>
        <w:rPr>
          <w:b/>
          <w:bCs/>
        </w:rPr>
        <w:t xml:space="preserve">equivalente in Power</w:t>
      </w:r>
      <w:r>
        <w:rPr>
          <w:b/>
          <w:bCs/>
        </w:rPr>
        <w:t xml:space="preserve"> </w:t>
      </w:r>
      <w:r>
        <w:rPr>
          <w:b/>
          <w:bCs/>
        </w:rPr>
        <w:t xml:space="preserve">BI</w:t>
      </w:r>
      <w:r>
        <w:t xml:space="preserve"> </w:t>
      </w:r>
      <w:r>
        <w:t xml:space="preserve">partendo dai dati già disponibili su PostgreSQL. Il documento è</w:t>
      </w:r>
      <w:r>
        <w:t xml:space="preserve"> </w:t>
      </w:r>
      <w:r>
        <w:t xml:space="preserve">destinato allo sviluppatore Power BI e copre: accesso ai dati, modello</w:t>
      </w:r>
      <w:r>
        <w:t xml:space="preserve"> </w:t>
      </w:r>
      <w:r>
        <w:t xml:space="preserve">semantico, misure DAX, impaginazione delle sei pagine, tema accessibile</w:t>
      </w:r>
      <w:r>
        <w:t xml:space="preserve"> </w:t>
      </w:r>
      <w:r>
        <w:t xml:space="preserve">(CVD-safe), interattività e aggiornamento schedulato.</w:t>
      </w:r>
    </w:p>
    <w:p>
      <w:pPr>
        <w:pStyle w:val="BodyText"/>
      </w:pPr>
      <w:r>
        <w:t xml:space="preserve">Obiettivo funzionale: mantenere la parità con la dashboard R esistente in</w:t>
      </w:r>
      <w:r>
        <w:t xml:space="preserve"> </w:t>
      </w:r>
      <w:r>
        <w:t xml:space="preserve">termini di indicatori esposti (value box), rappresentazione geografica</w:t>
      </w:r>
      <w:r>
        <w:t xml:space="preserve"> </w:t>
      </w:r>
      <w:r>
        <w:t xml:space="preserve">(coropleta NUTS-3), andamenti temporali (serie storica con totale regionale</w:t>
      </w:r>
      <w:r>
        <w:t xml:space="preserve"> </w:t>
      </w:r>
      <w:r>
        <w:t xml:space="preserve">e province) e filtri dimensionali (variabile, unità, sesso, età, settore).</w:t>
      </w:r>
    </w:p>
    <w:bookmarkEnd w:id="21"/>
    <w:bookmarkStart w:id="22" w:name="vincoli-e-assunzioni"/>
    <w:p>
      <w:pPr>
        <w:pStyle w:val="Heading2"/>
      </w:pPr>
      <w:r>
        <w:t xml:space="preserve">1.3 Vincoli e assunzioni</w:t>
      </w:r>
    </w:p>
    <w:p>
      <w:pPr>
        <w:pStyle w:val="Compact"/>
        <w:numPr>
          <w:ilvl w:val="0"/>
          <w:numId w:val="1001"/>
        </w:numPr>
      </w:pPr>
      <w:r>
        <w:t xml:space="preserve">Output finale: file</w:t>
      </w:r>
      <w:r>
        <w:t xml:space="preserve"> </w:t>
      </w:r>
      <w:r>
        <w:rPr>
          <w:rStyle w:val="VerbatimChar"/>
        </w:rPr>
        <w:t xml:space="preserve">.pbix</w:t>
      </w:r>
      <w:r>
        <w:t xml:space="preserve"> </w:t>
      </w:r>
      <w:r>
        <w:t xml:space="preserve">pubblicato su Power BI Service.</w:t>
      </w:r>
    </w:p>
    <w:p>
      <w:pPr>
        <w:pStyle w:val="Compact"/>
        <w:numPr>
          <w:ilvl w:val="0"/>
          <w:numId w:val="1001"/>
        </w:numPr>
      </w:pPr>
      <w:r>
        <w:t xml:space="preserve">Nessuna componente server R o Python nel deliverable.</w:t>
      </w:r>
    </w:p>
    <w:p>
      <w:pPr>
        <w:pStyle w:val="Compact"/>
        <w:numPr>
          <w:ilvl w:val="0"/>
          <w:numId w:val="1001"/>
        </w:numPr>
      </w:pPr>
      <w:r>
        <w:t xml:space="preserve">Aggiornamento dati secondo calendario JRC: marzo, maggio, novembre.</w:t>
      </w:r>
    </w:p>
    <w:p>
      <w:pPr>
        <w:pStyle w:val="Compact"/>
        <w:numPr>
          <w:ilvl w:val="0"/>
          <w:numId w:val="1001"/>
        </w:numPr>
      </w:pPr>
      <w:r>
        <w:t xml:space="preserve">Lingua di interfaccia: italiano. Tutte le etichette di variabili, unità,</w:t>
      </w:r>
      <w:r>
        <w:t xml:space="preserve"> </w:t>
      </w:r>
      <w:r>
        <w:t xml:space="preserve">classificazioni NACE e ripartizioni demografiche sono già tradotte nelle</w:t>
      </w:r>
      <w:r>
        <w:t xml:space="preserve"> </w:t>
      </w:r>
      <w:r>
        <w:t xml:space="preserve">tabelle di lookup.</w:t>
      </w:r>
    </w:p>
    <w:bookmarkEnd w:id="22"/>
    <w:bookmarkEnd w:id="23"/>
    <w:bookmarkStart w:id="30" w:name="architettura-dati-sorgente"/>
    <w:p>
      <w:pPr>
        <w:pStyle w:val="Heading1"/>
      </w:pPr>
      <w:r>
        <w:t xml:space="preserve">2. Architettura dati sorgente</w:t>
      </w:r>
    </w:p>
    <w:bookmarkStart w:id="24" w:name="backend-di-riferimento"/>
    <w:p>
      <w:pPr>
        <w:pStyle w:val="Heading2"/>
      </w:pPr>
      <w:r>
        <w:t xml:space="preserve">2.1 Backend di riferimento</w:t>
      </w:r>
    </w:p>
    <w:p>
      <w:pPr>
        <w:pStyle w:val="FirstParagraph"/>
      </w:pPr>
      <w:r>
        <w:t xml:space="preserve">Il backend dati ufficiale per la dashboard Power BI è</w:t>
      </w:r>
      <w:r>
        <w:t xml:space="preserve"> </w:t>
      </w:r>
      <w:r>
        <w:rPr>
          <w:b/>
          <w:bCs/>
        </w:rPr>
        <w:t xml:space="preserve">PostgreSQL, schema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ardeco</w:t>
      </w:r>
      <w:r>
        <w:t xml:space="preserve">, popolato dal container Docker presente nel repository (vedi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e commit</w:t>
      </w:r>
      <w:r>
        <w:t xml:space="preserve"> </w:t>
      </w:r>
      <w:r>
        <w:rPr>
          <w:rStyle w:val="VerbatimChar"/>
        </w:rPr>
        <w:t xml:space="preserve">feat: add containerized ARDECO-&gt;PostgreSQL pipeline and Excel export</w:t>
      </w:r>
      <w:r>
        <w:t xml:space="preserve">). Lo schema è isomorfo al file DuckDB</w:t>
      </w:r>
      <w:r>
        <w:t xml:space="preserve"> </w:t>
      </w:r>
      <w:r>
        <w:rPr>
          <w:rStyle w:val="VerbatimChar"/>
        </w:rPr>
        <w:t xml:space="preserve">data/ardeco.duckdb</w:t>
      </w:r>
      <w:r>
        <w:t xml:space="preserve"> </w:t>
      </w:r>
      <w:r>
        <w:t xml:space="preserve">usato dalla dashboard R: medesimi nomi di tabella, colonne, tipi e chiavi.</w:t>
      </w:r>
    </w:p>
    <w:p>
      <w:pPr>
        <w:pStyle w:val="BodyText"/>
      </w:pPr>
      <w:r>
        <w:t xml:space="preserve">Lo sviluppatore Power BI</w:t>
      </w:r>
      <w:r>
        <w:t xml:space="preserve"> </w:t>
      </w:r>
      <w:r>
        <w:rPr>
          <w:b/>
          <w:bCs/>
        </w:rPr>
        <w:t xml:space="preserve">non deve ricostruire la pipeline</w:t>
      </w:r>
      <w:r>
        <w:t xml:space="preserve">: le tabelle</w:t>
      </w:r>
      <w:r>
        <w:t xml:space="preserve"> </w:t>
      </w:r>
      <w:r>
        <w:t xml:space="preserve">sono già pronte e aggiornate dal container.</w:t>
      </w:r>
    </w:p>
    <w:bookmarkEnd w:id="24"/>
    <w:bookmarkStart w:id="25" w:name="schema-della-tabella-dei-fatti"/>
    <w:p>
      <w:pPr>
        <w:pStyle w:val="Heading2"/>
      </w:pPr>
      <w:r>
        <w:t xml:space="preserve">2.2 Schema della tabella dei fatti</w:t>
      </w:r>
    </w:p>
    <w:p>
      <w:pPr>
        <w:pStyle w:val="FirstParagraph"/>
      </w:pPr>
      <w:r>
        <w:t xml:space="preserve">Tabella</w:t>
      </w:r>
      <w:r>
        <w:t xml:space="preserve"> </w:t>
      </w:r>
      <w:r>
        <w:rPr>
          <w:rStyle w:val="VerbatimChar"/>
        </w:rPr>
        <w:t xml:space="preserve">ardeco.ardeco_data</w:t>
      </w:r>
      <w:r>
        <w:t xml:space="preserve"> </w:t>
      </w:r>
      <w:r>
        <w:t xml:space="preserve">— 12 colonne: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Colonna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Codice variabile (4–6 caratteri), es. SUVGD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Anno di classificazione NUTS (2016, 2021, 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Livello NUTS: 2 (regione), 3 (provincia)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NUTSCODE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Codice NUTS, es. ITC4, ITC46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Anno di riferimento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Codice unità di misura, es. MIO_EUR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Valore numerico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Sesso: TOTAL, F, M o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Fascia d’età: TOTAL, Y20-64, Y_GE65, ecc., o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Settore NACE Rev. 2, o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ISCED11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Livello istruzione (riservato, attualmente inutilizzato)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THEMATIC_GROUP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Gruppo tematico (uno dei 6 ambiti)</w:t>
            </w:r>
          </w:p>
        </w:tc>
      </w:tr>
    </w:tbl>
    <w:p>
      <w:pPr>
        <w:pStyle w:val="BodyText"/>
      </w:pPr>
      <w:r>
        <w:t xml:space="preserve">Indici presenti:</w:t>
      </w:r>
      <w:r>
        <w:t xml:space="preserve"> </w:t>
      </w:r>
      <w:r>
        <w:rPr>
          <w:rStyle w:val="VerbatimChar"/>
        </w:rPr>
        <w:t xml:space="preserve">idx_variable</w:t>
      </w:r>
      <w:r>
        <w:t xml:space="preserve"> </w:t>
      </w:r>
      <w:r>
        <w:t xml:space="preserve">su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idx_nuts_year</w:t>
      </w:r>
      <w:r>
        <w:t xml:space="preserve"> </w:t>
      </w:r>
      <w:r>
        <w:t xml:space="preserve">su</w:t>
      </w:r>
      <w:r>
        <w:t xml:space="preserve"> </w:t>
      </w:r>
      <w:r>
        <w:rPr>
          <w:rStyle w:val="VerbatimChar"/>
        </w:rPr>
        <w:t xml:space="preserve">(NUTSCODE, YEAR)</w:t>
      </w:r>
      <w:r>
        <w:t xml:space="preserve">.</w:t>
      </w:r>
    </w:p>
    <w:bookmarkEnd w:id="25"/>
    <w:bookmarkStart w:id="26" w:name="tabelle-di-lookup"/>
    <w:p>
      <w:pPr>
        <w:pStyle w:val="Heading2"/>
      </w:pPr>
      <w:r>
        <w:t xml:space="preserve">2.3 Tabelle di lookup</w:t>
      </w:r>
    </w:p>
    <w:p>
      <w:pPr>
        <w:pStyle w:val="FirstParagraph"/>
      </w:pPr>
      <w:r>
        <w:t xml:space="preserve">Sei tabelle contengono le etichette italiane per la decodifica: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Tabella</w:t>
            </w:r>
          </w:p>
        </w:tc>
        <w:tc>
          <w:tcPr/>
          <w:p>
            <w:pPr>
              <w:pStyle w:val="Compact"/>
            </w:pPr>
            <w:r>
              <w:t xml:space="preserve">Chiave</w:t>
            </w:r>
          </w:p>
        </w:tc>
        <w:tc>
          <w:tcPr/>
          <w:p>
            <w:pPr>
              <w:pStyle w:val="Compact"/>
            </w:pPr>
            <w:r>
              <w:t xml:space="preserve">Colonne aggiuntive</w:t>
            </w:r>
          </w:p>
        </w:tc>
        <w:tc>
          <w:tcPr/>
          <w:p>
            <w:pPr>
              <w:pStyle w:val="Compact"/>
            </w:pPr>
            <w:r>
              <w:t xml:space="preserve">Righe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var_labels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description_it</w:t>
            </w:r>
          </w:p>
        </w:tc>
        <w:tc>
          <w:tcPr/>
          <w:p>
            <w:pPr>
              <w:pStyle w:val="Compac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unit_labels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label_it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sex_labels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label_it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label_it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sector_labels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label_it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label_it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26"/>
    <w:bookmarkStart w:id="27" w:name="copertura-geografica"/>
    <w:p>
      <w:pPr>
        <w:pStyle w:val="Heading2"/>
      </w:pPr>
      <w:r>
        <w:t xml:space="preserve">2.4 Copertura geografica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NUTS-2</w:t>
      </w:r>
      <w:r>
        <w:t xml:space="preserve">: ITC4 (Lombardia) — usato come totale regionale.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NUTS-3</w:t>
      </w:r>
      <w:r>
        <w:t xml:space="preserve">: 12 province con prefisso ITC4 (elenco in appendice B).</w:t>
      </w:r>
    </w:p>
    <w:p>
      <w:pPr>
        <w:pStyle w:val="Compact"/>
        <w:numPr>
          <w:ilvl w:val="0"/>
          <w:numId w:val="1002"/>
        </w:numPr>
      </w:pPr>
      <w:r>
        <w:t xml:space="preserve">Geometrie: file</w:t>
      </w:r>
      <w:r>
        <w:t xml:space="preserve"> </w:t>
      </w:r>
      <w:r>
        <w:rPr>
          <w:rStyle w:val="VerbatimChar"/>
        </w:rPr>
        <w:t xml:space="preserve">data/lombardia_nuts3.gpkg</w:t>
      </w:r>
      <w:r>
        <w:t xml:space="preserve"> </w:t>
      </w:r>
      <w:r>
        <w:t xml:space="preserve">(GeoPackage, EPSG:4326) con 13</w:t>
      </w:r>
      <w:r>
        <w:t xml:space="preserve"> </w:t>
      </w:r>
      <w:r>
        <w:t xml:space="preserve">poligoni (12 province + contorno regionale).</w:t>
      </w:r>
    </w:p>
    <w:bookmarkEnd w:id="27"/>
    <w:bookmarkStart w:id="28" w:name="copertura-temporale"/>
    <w:p>
      <w:pPr>
        <w:pStyle w:val="Heading2"/>
      </w:pPr>
      <w:r>
        <w:t xml:space="preserve">2.5 Copertura temporale</w:t>
      </w:r>
    </w:p>
    <w:p>
      <w:pPr>
        <w:pStyle w:val="FirstParagraph"/>
      </w:pPr>
      <w:r>
        <w:t xml:space="preserve">Serie storiche dal 1960 per le variabili demografiche; dagli anni Ottanta</w:t>
      </w:r>
      <w:r>
        <w:t xml:space="preserve"> </w:t>
      </w:r>
      <w:r>
        <w:t xml:space="preserve">per la maggior parte degli indicatori economici. L’ultimo anno disponibile</w:t>
      </w:r>
      <w:r>
        <w:t xml:space="preserve"> </w:t>
      </w:r>
      <w:r>
        <w:t xml:space="preserve">coincide con l’ultimo rilascio JRC acquisito dalla pipeline.</w:t>
      </w:r>
    </w:p>
    <w:bookmarkEnd w:id="28"/>
    <w:bookmarkStart w:id="29" w:name="nota-sugli-aggregati"/>
    <w:p>
      <w:pPr>
        <w:pStyle w:val="Heading2"/>
      </w:pPr>
      <w:r>
        <w:t xml:space="preserve">2.6 Nota sugli aggregati</w:t>
      </w:r>
    </w:p>
    <w:p>
      <w:pPr>
        <w:pStyle w:val="FirstParagraph"/>
      </w:pPr>
      <w:r>
        <w:t xml:space="preserve">Il totale regionale ITC4 proviene direttamente da ARDECO e</w:t>
      </w:r>
      <w:r>
        <w:t xml:space="preserve"> </w:t>
      </w:r>
      <w:r>
        <w:rPr>
          <w:b/>
          <w:bCs/>
        </w:rPr>
        <w:t xml:space="preserve">non coincide</w:t>
      </w:r>
      <w:r>
        <w:t xml:space="preserve"> </w:t>
      </w:r>
      <w:r>
        <w:t xml:space="preserve">con la somma dei valori provinciali, per via dei trattamenti di</w:t>
      </w:r>
      <w:r>
        <w:t xml:space="preserve"> </w:t>
      </w:r>
      <w:r>
        <w:t xml:space="preserve">armonizzazione applicati dal JRC. Le misure DAX devono trattare ITC4 come</w:t>
      </w:r>
      <w:r>
        <w:t xml:space="preserve"> </w:t>
      </w:r>
      <w:r>
        <w:t xml:space="preserve">entità a sé e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come somma delle 12 province.</w:t>
      </w:r>
    </w:p>
    <w:bookmarkEnd w:id="29"/>
    <w:bookmarkEnd w:id="30"/>
    <w:bookmarkStart w:id="36" w:name="accesso-ai-dati-da-power-bi"/>
    <w:p>
      <w:pPr>
        <w:pStyle w:val="Heading1"/>
      </w:pPr>
      <w:r>
        <w:t xml:space="preserve">3. Accesso ai dati da Power BI</w:t>
      </w:r>
    </w:p>
    <w:bookmarkStart w:id="31" w:name="connessione"/>
    <w:p>
      <w:pPr>
        <w:pStyle w:val="Heading2"/>
      </w:pPr>
      <w:r>
        <w:t xml:space="preserve">3.1 Connessione</w:t>
      </w:r>
    </w:p>
    <w:p>
      <w:pPr>
        <w:pStyle w:val="FirstParagraph"/>
      </w:pPr>
      <w:r>
        <w:t xml:space="preserve">Lo sviluppatore riceve le credenziali PostgreSQL (host, porta, database,</w:t>
      </w:r>
      <w:r>
        <w:t xml:space="preserve"> </w:t>
      </w:r>
      <w:r>
        <w:t xml:space="preserve">utente read-only). La connessione si stabilisce tramite il connettore</w:t>
      </w:r>
      <w:r>
        <w:t xml:space="preserve"> </w:t>
      </w:r>
      <w:r>
        <w:t xml:space="preserve">nativo Power BI</w:t>
      </w:r>
      <w:r>
        <w:t xml:space="preserve"> </w:t>
      </w:r>
      <w:r>
        <w:rPr>
          <w:b/>
          <w:bCs/>
        </w:rPr>
        <w:t xml:space="preserve">PostgreSQL database</w:t>
      </w:r>
      <w:r>
        <w:t xml:space="preserve">, che richiede il provider Npgsql</w:t>
      </w:r>
      <w:r>
        <w:t xml:space="preserve"> </w:t>
      </w:r>
      <w:r>
        <w:t xml:space="preserve">installato sulla macchina dello sviluppatore e sul gateway on-premises.</w:t>
      </w:r>
    </w:p>
    <w:p>
      <w:pPr>
        <w:pStyle w:val="BodyText"/>
      </w:pPr>
      <w:r>
        <w:t xml:space="preserve">Parametri di connessione:</w:t>
      </w:r>
    </w:p>
    <w:p>
      <w:pPr>
        <w:pStyle w:val="Compact"/>
        <w:numPr>
          <w:ilvl w:val="0"/>
          <w:numId w:val="1003"/>
        </w:numPr>
      </w:pPr>
      <w:r>
        <w:t xml:space="preserve">Server:</w:t>
      </w:r>
      <w:r>
        <w:t xml:space="preserve"> </w:t>
      </w:r>
      <w:r>
        <w:rPr>
          <w:rStyle w:val="VerbatimChar"/>
        </w:rPr>
        <w:t xml:space="preserve">&lt;host&gt;:&lt;porta&gt;</w:t>
      </w:r>
      <w:r>
        <w:t xml:space="preserve"> </w:t>
      </w:r>
      <w:r>
        <w:t xml:space="preserve">(fornito a parte)</w:t>
      </w:r>
    </w:p>
    <w:p>
      <w:pPr>
        <w:pStyle w:val="Compact"/>
        <w:numPr>
          <w:ilvl w:val="0"/>
          <w:numId w:val="1003"/>
        </w:numPr>
      </w:pPr>
      <w:r>
        <w:t xml:space="preserve">Database:</w:t>
      </w:r>
      <w:r>
        <w:t xml:space="preserve"> </w:t>
      </w:r>
      <w:r>
        <w:rPr>
          <w:rStyle w:val="VerbatimChar"/>
        </w:rPr>
        <w:t xml:space="preserve">&lt;nome_db&gt;</w:t>
      </w:r>
    </w:p>
    <w:p>
      <w:pPr>
        <w:pStyle w:val="Compact"/>
        <w:numPr>
          <w:ilvl w:val="0"/>
          <w:numId w:val="1003"/>
        </w:numPr>
      </w:pPr>
      <w:r>
        <w:t xml:space="preserve">Schema:</w:t>
      </w:r>
      <w:r>
        <w:t xml:space="preserve"> </w:t>
      </w:r>
      <w:r>
        <w:rPr>
          <w:rStyle w:val="VerbatimChar"/>
        </w:rPr>
        <w:t xml:space="preserve">ardeco</w:t>
      </w:r>
    </w:p>
    <w:p>
      <w:pPr>
        <w:pStyle w:val="Compact"/>
        <w:numPr>
          <w:ilvl w:val="0"/>
          <w:numId w:val="1003"/>
        </w:numPr>
      </w:pPr>
      <w:r>
        <w:t xml:space="preserve">Data connectivity mode: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(consigliato, dataset &lt; 1 M righe)</w:t>
      </w:r>
    </w:p>
    <w:p>
      <w:pPr>
        <w:pStyle w:val="FirstParagraph"/>
      </w:pPr>
      <w:r>
        <w:t xml:space="preserve">DirectQuery è sconsigliato: il volume dati è modesto e l’interattività</w:t>
      </w:r>
      <w:r>
        <w:t xml:space="preserve"> </w:t>
      </w:r>
      <w:r>
        <w:t xml:space="preserve">desiderata richiede il motore in-memory di Power BI.</w:t>
      </w:r>
    </w:p>
    <w:bookmarkEnd w:id="31"/>
    <w:bookmarkStart w:id="32" w:name="tabelle-da-importare"/>
    <w:p>
      <w:pPr>
        <w:pStyle w:val="Heading2"/>
      </w:pPr>
      <w:r>
        <w:t xml:space="preserve">3.2 Tabelle da importare</w:t>
      </w:r>
    </w:p>
    <w:p>
      <w:pPr>
        <w:pStyle w:val="FirstParagraph"/>
      </w:pPr>
      <w:r>
        <w:t xml:space="preserve">Importare le sette tabelle dello schema</w:t>
      </w:r>
      <w:r>
        <w:t xml:space="preserve"> </w:t>
      </w:r>
      <w:r>
        <w:rPr>
          <w:rStyle w:val="VerbatimChar"/>
        </w:rPr>
        <w:t xml:space="preserve">ardeco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ardeco.ardeco_data</w:t>
      </w:r>
      <w:r>
        <w:t xml:space="preserve"> </w:t>
      </w:r>
      <w:r>
        <w:t xml:space="preserve">(tabella dei fatti)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ardeco.var_labels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ardeco.unit_labels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ardeco.sex_labels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ardeco.age_labels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ardeco.sector_labels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ardeco.group_labels</w:t>
      </w:r>
    </w:p>
    <w:p>
      <w:pPr>
        <w:pStyle w:val="FirstParagraph"/>
      </w:pPr>
      <w:r>
        <w:t xml:space="preserve">Durante l’import, disattivare l’opzione</w:t>
      </w:r>
      <w:r>
        <w:t xml:space="preserve"> </w:t>
      </w:r>
      <w:r>
        <w:t xml:space="preserve">“Include relationship columns”</w:t>
      </w:r>
      <w:r>
        <w:t xml:space="preserve"> </w:t>
      </w:r>
      <w:r>
        <w:t xml:space="preserve">per</w:t>
      </w:r>
      <w:r>
        <w:t xml:space="preserve"> </w:t>
      </w:r>
      <w:r>
        <w:t xml:space="preserve">evitare che Power BI crei relazioni spurie basate su nomi colonna omonimi.</w:t>
      </w:r>
    </w:p>
    <w:bookmarkEnd w:id="32"/>
    <w:bookmarkStart w:id="33" w:name="query-folding"/>
    <w:p>
      <w:pPr>
        <w:pStyle w:val="Heading2"/>
      </w:pPr>
      <w:r>
        <w:t xml:space="preserve">3.3 Query folding</w:t>
      </w:r>
    </w:p>
    <w:p>
      <w:pPr>
        <w:pStyle w:val="FirstParagraph"/>
      </w:pPr>
      <w:r>
        <w:t xml:space="preserve">Mantenere le trasformazioni Power Query al minimo indispensabile</w:t>
      </w:r>
      <w:r>
        <w:t xml:space="preserve"> </w:t>
      </w:r>
      <w:r>
        <w:t xml:space="preserve">(rinominare colonne, impostare tipi). Ogni passo che interrompe il query</w:t>
      </w:r>
      <w:r>
        <w:t xml:space="preserve"> </w:t>
      </w:r>
      <w:r>
        <w:t xml:space="preserve">folding forza Power BI a caricare l’intera tabella prima di filtrare:</w:t>
      </w:r>
      <w:r>
        <w:t xml:space="preserve"> </w:t>
      </w:r>
      <w:r>
        <w:t xml:space="preserve">evitare in particolare l’uso di funzioni M come</w:t>
      </w:r>
      <w:r>
        <w:t xml:space="preserve"> </w:t>
      </w:r>
      <w:r>
        <w:rPr>
          <w:rStyle w:val="VerbatimChar"/>
        </w:rPr>
        <w:t xml:space="preserve">Table.AddColumn</w:t>
      </w:r>
      <w:r>
        <w:t xml:space="preserve"> </w:t>
      </w:r>
      <w:r>
        <w:t xml:space="preserve">con</w:t>
      </w:r>
      <w:r>
        <w:t xml:space="preserve"> </w:t>
      </w:r>
      <w:r>
        <w:t xml:space="preserve">espressioni complesse o</w:t>
      </w:r>
      <w:r>
        <w:t xml:space="preserve"> </w:t>
      </w:r>
      <w:r>
        <w:rPr>
          <w:rStyle w:val="VerbatimChar"/>
        </w:rPr>
        <w:t xml:space="preserve">Table.FuzzyJoin</w:t>
      </w:r>
      <w:r>
        <w:t xml:space="preserve">.</w:t>
      </w:r>
    </w:p>
    <w:bookmarkEnd w:id="33"/>
    <w:bookmarkStart w:id="34" w:name="importazione-delle-geometrie-nuts-3"/>
    <w:p>
      <w:pPr>
        <w:pStyle w:val="Heading2"/>
      </w:pPr>
      <w:r>
        <w:t xml:space="preserve">3.4 Importazione delle geometrie NUTS-3</w:t>
      </w:r>
    </w:p>
    <w:p>
      <w:pPr>
        <w:pStyle w:val="FirstParagraph"/>
      </w:pPr>
      <w:r>
        <w:t xml:space="preserve">Power BI non legge il formato GeoPackage in modo nativo. Convertire</w:t>
      </w:r>
      <w:r>
        <w:t xml:space="preserve"> </w:t>
      </w:r>
      <w:r>
        <w:rPr>
          <w:rStyle w:val="VerbatimChar"/>
        </w:rPr>
        <w:t xml:space="preserve">data/lombardia_nuts3.gpkg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TopoJSON</w:t>
      </w:r>
      <w:r>
        <w:t xml:space="preserve"> </w:t>
      </w:r>
      <w:r>
        <w:t xml:space="preserve">(formato richiesto dal visual</w:t>
      </w:r>
      <w:r>
        <w:t xml:space="preserve"> </w:t>
      </w:r>
      <w:r>
        <w:t xml:space="preserve">Shape map) oppure in</w:t>
      </w:r>
      <w:r>
        <w:t xml:space="preserve"> </w:t>
      </w:r>
      <w:r>
        <w:rPr>
          <w:b/>
          <w:bCs/>
        </w:rPr>
        <w:t xml:space="preserve">GeoJSON</w:t>
      </w:r>
      <w:r>
        <w:t xml:space="preserve"> </w:t>
      </w:r>
      <w:r>
        <w:t xml:space="preserve">(per ArcGIS Maps for Power BI o custom</w:t>
      </w:r>
      <w:r>
        <w:t xml:space="preserve"> </w:t>
      </w:r>
      <w:r>
        <w:t xml:space="preserve">visual Mapbox):</w:t>
      </w:r>
    </w:p>
    <w:p>
      <w:pPr>
        <w:pStyle w:val="SourceCode"/>
      </w:pPr>
      <w:r>
        <w:rPr>
          <w:rStyle w:val="CommentTok"/>
        </w:rPr>
        <w:t xml:space="preserve"># Conversione con GDAL</w:t>
      </w:r>
      <w:r>
        <w:br/>
      </w:r>
      <w:r>
        <w:rPr>
          <w:rStyle w:val="ExtensionTok"/>
        </w:rPr>
        <w:t xml:space="preserve">ogr2ogr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GeoJSON lombardia_nuts3.geojson data/lombardia_nuts3.gpkg</w:t>
      </w:r>
      <w:r>
        <w:br/>
      </w:r>
      <w:r>
        <w:br/>
      </w:r>
      <w:r>
        <w:rPr>
          <w:rStyle w:val="CommentTok"/>
        </w:rPr>
        <w:t xml:space="preserve"># Oppure TopoJSON tramite Node.js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geo2topo lombardia_nuts3.geojson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lombardia_nuts3.topojson</w:t>
      </w:r>
    </w:p>
    <w:p>
      <w:pPr>
        <w:pStyle w:val="FirstParagraph"/>
      </w:pPr>
      <w:r>
        <w:t xml:space="preserve">Verificare che la proprietà di join nel file esportato sia</w:t>
      </w:r>
      <w:r>
        <w:t xml:space="preserve"> </w:t>
      </w:r>
      <w:r>
        <w:rPr>
          <w:rStyle w:val="VerbatimChar"/>
        </w:rPr>
        <w:t xml:space="preserve">NUTS_ID</w:t>
      </w:r>
      <w:r>
        <w:t xml:space="preserve"> </w:t>
      </w:r>
      <w:r>
        <w:t xml:space="preserve">(campo chiave per collegare le geometrie alla tabella dei fatti).</w:t>
      </w:r>
    </w:p>
    <w:bookmarkEnd w:id="34"/>
    <w:bookmarkStart w:id="35" w:name="gateway-on-premises"/>
    <w:p>
      <w:pPr>
        <w:pStyle w:val="Heading2"/>
      </w:pPr>
      <w:r>
        <w:t xml:space="preserve">3.5 Gateway on-premises</w:t>
      </w:r>
    </w:p>
    <w:p>
      <w:pPr>
        <w:pStyle w:val="FirstParagraph"/>
      </w:pPr>
      <w:r>
        <w:t xml:space="preserve">Se l’istanza PostgreSQL è raggiungibile solo dalla rete aziendale, è</w:t>
      </w:r>
      <w:r>
        <w:t xml:space="preserve"> </w:t>
      </w:r>
      <w:r>
        <w:t xml:space="preserve">necessario installare e registrare il</w:t>
      </w:r>
      <w:r>
        <w:t xml:space="preserve"> </w:t>
      </w:r>
      <w:r>
        <w:rPr>
          <w:b/>
          <w:bCs/>
        </w:rPr>
        <w:t xml:space="preserve">gateway dati Power BI</w:t>
      </w:r>
      <w:r>
        <w:t xml:space="preserve"> </w:t>
      </w:r>
      <w:r>
        <w:t xml:space="preserve">sulla</w:t>
      </w:r>
      <w:r>
        <w:t xml:space="preserve"> </w:t>
      </w:r>
      <w:r>
        <w:t xml:space="preserve">macchina che ha accesso al database. In ambiente cloud (PostgreSQL gestito</w:t>
      </w:r>
      <w:r>
        <w:t xml:space="preserve"> </w:t>
      </w:r>
      <w:r>
        <w:t xml:space="preserve">con endpoint pubblico o VNet Power BI) il gateway non serve.</w:t>
      </w:r>
    </w:p>
    <w:bookmarkEnd w:id="35"/>
    <w:bookmarkEnd w:id="36"/>
    <w:bookmarkStart w:id="41" w:name="modello-dati-power-bi"/>
    <w:p>
      <w:pPr>
        <w:pStyle w:val="Heading1"/>
      </w:pPr>
      <w:r>
        <w:t xml:space="preserve">4. Modello dati Power BI</w:t>
      </w:r>
    </w:p>
    <w:bookmarkStart w:id="37" w:name="schema-a-stella"/>
    <w:p>
      <w:pPr>
        <w:pStyle w:val="Heading2"/>
      </w:pPr>
      <w:r>
        <w:t xml:space="preserve">4.1 Schema a stella</w:t>
      </w:r>
    </w:p>
    <w:p>
      <w:pPr>
        <w:pStyle w:val="FirstParagraph"/>
      </w:pPr>
      <w:r>
        <w:t xml:space="preserve">Il modello segue uno schema a stella con una fact table centrale e sei</w:t>
      </w:r>
      <w:r>
        <w:t xml:space="preserve"> </w:t>
      </w:r>
      <w:r>
        <w:t xml:space="preserve">tabelle dimensionali:</w:t>
      </w:r>
    </w:p>
    <w:p>
      <w:pPr>
        <w:pStyle w:val="SourceCode"/>
      </w:pPr>
      <w:r>
        <w:rPr>
          <w:rStyle w:val="VerbatimChar"/>
        </w:rPr>
        <w:t xml:space="preserve">          dim_group</w:t>
      </w:r>
      <w:r>
        <w:br/>
      </w:r>
      <w:r>
        <w:rPr>
          <w:rStyle w:val="VerbatimChar"/>
        </w:rPr>
        <w:t xml:space="preserve">             |</w:t>
      </w:r>
      <w:r>
        <w:br/>
      </w:r>
      <w:r>
        <w:rPr>
          <w:rStyle w:val="VerbatimChar"/>
        </w:rPr>
        <w:t xml:space="preserve">             v</w:t>
      </w:r>
      <w:r>
        <w:br/>
      </w:r>
      <w:r>
        <w:rPr>
          <w:rStyle w:val="VerbatimChar"/>
        </w:rPr>
        <w:t xml:space="preserve">dim_variable --+                   dim_geo</w:t>
      </w:r>
      <w:r>
        <w:br/>
      </w:r>
      <w:r>
        <w:rPr>
          <w:rStyle w:val="VerbatimChar"/>
        </w:rPr>
        <w:t xml:space="preserve">dim_unit    --+                       |</w:t>
      </w:r>
      <w:r>
        <w:br/>
      </w:r>
      <w:r>
        <w:rPr>
          <w:rStyle w:val="VerbatimChar"/>
        </w:rPr>
        <w:t xml:space="preserve">dim_sex     --+--&gt; ardeco_data &lt;------+</w:t>
      </w:r>
      <w:r>
        <w:br/>
      </w:r>
      <w:r>
        <w:rPr>
          <w:rStyle w:val="VerbatimChar"/>
        </w:rPr>
        <w:t xml:space="preserve">dim_age     --+</w:t>
      </w:r>
      <w:r>
        <w:br/>
      </w:r>
      <w:r>
        <w:rPr>
          <w:rStyle w:val="VerbatimChar"/>
        </w:rPr>
        <w:t xml:space="preserve">dim_sector  --+</w:t>
      </w:r>
    </w:p>
    <w:bookmarkEnd w:id="37"/>
    <w:bookmarkStart w:id="38" w:name="tabelle-del-modello"/>
    <w:p>
      <w:pPr>
        <w:pStyle w:val="Heading2"/>
      </w:pPr>
      <w:r>
        <w:t xml:space="preserve">4.2 Tabelle del modello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Tabella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Chiave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ardeco_data</w:t>
            </w:r>
          </w:p>
        </w:tc>
        <w:tc>
          <w:tcPr/>
          <w:p>
            <w:pPr>
              <w:pStyle w:val="Compact"/>
            </w:pPr>
            <w:r>
              <w:t xml:space="preserve">Fatti</w:t>
            </w:r>
          </w:p>
        </w:tc>
        <w:tc>
          <w:tcPr/>
          <w:p>
            <w:pPr>
              <w:pStyle w:val="Compact"/>
            </w:pPr>
            <w:r>
              <w:t xml:space="preserve">composta (VARIABLE, NUTSCODE, YEAR, UNIT, SEX, AGE, SECTOR)</w:t>
            </w:r>
          </w:p>
        </w:tc>
        <w:tc>
          <w:tcPr/>
          <w:p>
            <w:pPr>
              <w:pStyle w:val="Compact"/>
            </w:pPr>
            <w:r>
              <w:t xml:space="preserve">Import, ~1 M righe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dim_variable</w:t>
            </w:r>
          </w:p>
        </w:tc>
        <w:tc>
          <w:tcPr/>
          <w:p>
            <w:pPr>
              <w:pStyle w:val="Compact"/>
            </w:pPr>
            <w:r>
              <w:t xml:space="preserve">Dimensione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var_code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  <w:r>
              <w:t xml:space="preserve"> </w:t>
            </w:r>
            <w:r>
              <w:rPr>
                <w:rStyle w:val="VerbatimChar"/>
              </w:rPr>
              <w:t xml:space="preserve">var_labels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dim_unit</w:t>
            </w:r>
          </w:p>
        </w:tc>
        <w:tc>
          <w:tcPr/>
          <w:p>
            <w:pPr>
              <w:pStyle w:val="Compact"/>
            </w:pPr>
            <w:r>
              <w:t xml:space="preserve">Dimensione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  <w:r>
              <w:t xml:space="preserve"> </w:t>
            </w:r>
            <w:r>
              <w:rPr>
                <w:rStyle w:val="VerbatimChar"/>
              </w:rPr>
              <w:t xml:space="preserve">unit_labels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dim_sex</w:t>
            </w:r>
          </w:p>
        </w:tc>
        <w:tc>
          <w:tcPr/>
          <w:p>
            <w:pPr>
              <w:pStyle w:val="Compact"/>
            </w:pPr>
            <w:r>
              <w:t xml:space="preserve">Dimensione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  <w:r>
              <w:t xml:space="preserve"> </w:t>
            </w:r>
            <w:r>
              <w:rPr>
                <w:rStyle w:val="VerbatimChar"/>
              </w:rPr>
              <w:t xml:space="preserve">sex_labels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dim_age</w:t>
            </w:r>
          </w:p>
        </w:tc>
        <w:tc>
          <w:tcPr/>
          <w:p>
            <w:pPr>
              <w:pStyle w:val="Compact"/>
            </w:pPr>
            <w:r>
              <w:t xml:space="preserve">Dimensione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  <w:r>
              <w:t xml:space="preserve"> </w:t>
            </w:r>
            <w:r>
              <w:rPr>
                <w:rStyle w:val="VerbatimChar"/>
              </w:rPr>
              <w:t xml:space="preserve">age_labels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dim_sector</w:t>
            </w:r>
          </w:p>
        </w:tc>
        <w:tc>
          <w:tcPr/>
          <w:p>
            <w:pPr>
              <w:pStyle w:val="Compact"/>
            </w:pPr>
            <w:r>
              <w:t xml:space="preserve">Dimensione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  <w:r>
              <w:t xml:space="preserve"> </w:t>
            </w:r>
            <w:r>
              <w:rPr>
                <w:rStyle w:val="VerbatimChar"/>
              </w:rPr>
              <w:t xml:space="preserve">sector_labels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dim_group</w:t>
            </w:r>
          </w:p>
        </w:tc>
        <w:tc>
          <w:tcPr/>
          <w:p>
            <w:pPr>
              <w:pStyle w:val="Compact"/>
            </w:pPr>
            <w:r>
              <w:t xml:space="preserve">Dimensione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group_id</w:t>
            </w:r>
          </w:p>
        </w:tc>
        <w:tc>
          <w:tcPr/>
          <w:p>
            <w:pPr>
              <w:pStyle w:val="Compact"/>
            </w:pPr>
            <w:r>
              <w:t xml:space="preserve">Da</w:t>
            </w:r>
            <w:r>
              <w:t xml:space="preserve"> </w:t>
            </w:r>
            <w:r>
              <w:rPr>
                <w:rStyle w:val="VerbatimChar"/>
              </w:rPr>
              <w:t xml:space="preserve">group_labels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dim_geo</w:t>
            </w:r>
          </w:p>
        </w:tc>
        <w:tc>
          <w:tcPr/>
          <w:p>
            <w:pPr>
              <w:pStyle w:val="Compact"/>
            </w:pPr>
            <w:r>
              <w:t xml:space="preserve">Dimensione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NUTS_ID</w:t>
            </w:r>
          </w:p>
        </w:tc>
        <w:tc>
          <w:tcPr/>
          <w:p>
            <w:pPr>
              <w:pStyle w:val="Compact"/>
            </w:pPr>
            <w:r>
              <w:t xml:space="preserve">Importata da GeoJSON/TopoJSON con attributi (</w:t>
            </w:r>
            <w:r>
              <w:rPr>
                <w:rStyle w:val="VerbatimChar"/>
              </w:rPr>
              <w:t xml:space="preserve">NUTS_ID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NAME_LATN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)</w:t>
            </w:r>
          </w:p>
        </w:tc>
      </w:tr>
    </w:tbl>
    <w:bookmarkEnd w:id="38"/>
    <w:bookmarkStart w:id="39" w:name="relazioni"/>
    <w:p>
      <w:pPr>
        <w:pStyle w:val="Heading2"/>
      </w:pPr>
      <w:r>
        <w:t xml:space="preserve">4.3 Relazioni</w:t>
      </w:r>
    </w:p>
    <w:p>
      <w:pPr>
        <w:pStyle w:val="FirstParagraph"/>
      </w:pPr>
      <w:r>
        <w:t xml:space="preserve">Impostare relazioni 1-a-molti da ciascuna dimensione verso la fact table,</w:t>
      </w:r>
      <w:r>
        <w:t xml:space="preserve"> </w:t>
      </w:r>
      <w:r>
        <w:t xml:space="preserve">cardinalità singola, filtro unidirezionale (dimensione → fatti):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dim_variable[var_code]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ardeco_data[VARIABLE]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dim_unit[code]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ardeco_data[UNIT]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dim_sex[code]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ardeco_data[SEX]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dim_age[code]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ardeco_data[AGE]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dim_sector[code]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ardeco_data[SECTOR]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dim_group[group_id]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ardeco_data[THEMATIC_GROUP]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dim_geo[NUTS_ID]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ardeco_data[NUTSCODE]</w:t>
      </w:r>
    </w:p>
    <w:p>
      <w:pPr>
        <w:pStyle w:val="FirstParagraph"/>
      </w:pPr>
      <w:r>
        <w:t xml:space="preserve">Non impostare filtri bidirezionali: la propagazione transitiva tra</w:t>
      </w:r>
      <w:r>
        <w:t xml:space="preserve"> </w:t>
      </w:r>
      <w:r>
        <w:t xml:space="preserve">dimensioni porterebbe a conteggi errati nei KPI.</w:t>
      </w:r>
    </w:p>
    <w:bookmarkEnd w:id="39"/>
    <w:bookmarkStart w:id="40" w:name="colonne-calcolate-utili"/>
    <w:p>
      <w:pPr>
        <w:pStyle w:val="Heading2"/>
      </w:pPr>
      <w:r>
        <w:t xml:space="preserve">4.4 Colonne calcolate utili</w:t>
      </w:r>
    </w:p>
    <w:p>
      <w:pPr>
        <w:pStyle w:val="FirstParagraph"/>
      </w:pPr>
      <w:r>
        <w:t xml:space="preserve">Aggiungere a</w:t>
      </w:r>
      <w:r>
        <w:t xml:space="preserve"> </w:t>
      </w:r>
      <w:r>
        <w:rPr>
          <w:rStyle w:val="VerbatimChar"/>
        </w:rPr>
        <w:t xml:space="preserve">ardeco_data</w:t>
      </w:r>
      <w:r>
        <w:t xml:space="preserve"> </w:t>
      </w:r>
      <w:r>
        <w:t xml:space="preserve">(o a</w:t>
      </w:r>
      <w:r>
        <w:t xml:space="preserve"> </w:t>
      </w:r>
      <w:r>
        <w:rPr>
          <w:rStyle w:val="VerbatimChar"/>
        </w:rPr>
        <w:t xml:space="preserve">dim_geo</w:t>
      </w:r>
      <w:r>
        <w:t xml:space="preserve">) una colonna calcolata per</w:t>
      </w:r>
      <w:r>
        <w:t xml:space="preserve"> </w:t>
      </w:r>
      <w:r>
        <w:t xml:space="preserve">distinguere il livello NUTS in modo leggibile:</w:t>
      </w:r>
    </w:p>
    <w:p>
      <w:pPr>
        <w:pStyle w:val="SourceCode"/>
      </w:pPr>
      <w:r>
        <w:rPr>
          <w:rStyle w:val="VerbatimChar"/>
        </w:rPr>
        <w:t xml:space="preserve">Tipo_NUTS =</w:t>
      </w:r>
      <w:r>
        <w:br/>
      </w:r>
      <w:r>
        <w:rPr>
          <w:rStyle w:val="VerbatimChar"/>
        </w:rPr>
        <w:t xml:space="preserve">SWITCH(</w:t>
      </w:r>
      <w:r>
        <w:br/>
      </w:r>
      <w:r>
        <w:rPr>
          <w:rStyle w:val="VerbatimChar"/>
        </w:rPr>
        <w:t xml:space="preserve">    'ardeco_data'[LEVEL],</w:t>
      </w:r>
      <w:r>
        <w:br/>
      </w:r>
      <w:r>
        <w:rPr>
          <w:rStyle w:val="VerbatimChar"/>
        </w:rPr>
        <w:t xml:space="preserve">    2, "Regione",</w:t>
      </w:r>
      <w:r>
        <w:br/>
      </w:r>
      <w:r>
        <w:rPr>
          <w:rStyle w:val="VerbatimChar"/>
        </w:rPr>
        <w:t xml:space="preserve">    3, "Provincia",</w:t>
      </w:r>
      <w:r>
        <w:br/>
      </w:r>
      <w:r>
        <w:rPr>
          <w:rStyle w:val="VerbatimChar"/>
        </w:rPr>
        <w:t xml:space="preserve">    "Altro"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Aggiungere a</w:t>
      </w:r>
      <w:r>
        <w:t xml:space="preserve"> </w:t>
      </w:r>
      <w:r>
        <w:rPr>
          <w:rStyle w:val="VerbatimChar"/>
        </w:rPr>
        <w:t xml:space="preserve">dim_variable</w:t>
      </w:r>
      <w:r>
        <w:t xml:space="preserve"> </w:t>
      </w:r>
      <w:r>
        <w:t xml:space="preserve">il collegamento al nome di gruppo italiano</w:t>
      </w:r>
      <w:r>
        <w:t xml:space="preserve"> </w:t>
      </w:r>
      <w:r>
        <w:t xml:space="preserve">(relazione via</w:t>
      </w:r>
      <w:r>
        <w:t xml:space="preserve"> </w:t>
      </w:r>
      <w:r>
        <w:rPr>
          <w:rStyle w:val="VerbatimChar"/>
        </w:rPr>
        <w:t xml:space="preserve">group_id</w:t>
      </w:r>
      <w:r>
        <w:t xml:space="preserve">), così da poter costruire slicer gerarchici</w:t>
      </w:r>
      <w:r>
        <w:t xml:space="preserve"> </w:t>
      </w:r>
      <w:r>
        <w:t xml:space="preserve">Gruppo → Variabile.</w:t>
      </w:r>
    </w:p>
    <w:bookmarkEnd w:id="40"/>
    <w:bookmarkEnd w:id="41"/>
    <w:bookmarkStart w:id="46" w:name="misure-dax-fondamentali"/>
    <w:p>
      <w:pPr>
        <w:pStyle w:val="Heading1"/>
      </w:pPr>
      <w:r>
        <w:t xml:space="preserve">5. Misure DAX fondamentali</w:t>
      </w:r>
    </w:p>
    <w:p>
      <w:pPr>
        <w:pStyle w:val="FirstParagraph"/>
      </w:pPr>
      <w:r>
        <w:t xml:space="preserve">Tutte le misure sono da definire nella fact table</w:t>
      </w:r>
      <w:r>
        <w:t xml:space="preserve"> </w:t>
      </w:r>
      <w:r>
        <w:rPr>
          <w:rStyle w:val="VerbatimChar"/>
        </w:rPr>
        <w:t xml:space="preserve">ardeco_data</w:t>
      </w:r>
      <w:r>
        <w:t xml:space="preserve">. Le misure</w:t>
      </w:r>
      <w:r>
        <w:t xml:space="preserve"> </w:t>
      </w:r>
      <w:r>
        <w:t xml:space="preserve">di formato restituiscono testo e sono pensate per i titoli dei value box</w:t>
      </w:r>
      <w:r>
        <w:t xml:space="preserve"> </w:t>
      </w:r>
      <w:r>
        <w:t xml:space="preserve">(requisito:</w:t>
      </w:r>
      <w:r>
        <w:t xml:space="preserve"> </w:t>
      </w:r>
      <w:r>
        <w:rPr>
          <w:b/>
          <w:bCs/>
        </w:rPr>
        <w:t xml:space="preserve">l’anno di riferimento deve comparire nel titolo o nel</w:t>
      </w:r>
      <w:r>
        <w:rPr>
          <w:b/>
          <w:bCs/>
        </w:rPr>
        <w:t xml:space="preserve"> </w:t>
      </w:r>
      <w:r>
        <w:rPr>
          <w:b/>
          <w:bCs/>
        </w:rPr>
        <w:t xml:space="preserve">sottotitolo della card</w:t>
      </w:r>
      <w:r>
        <w:t xml:space="preserve">).</w:t>
      </w:r>
    </w:p>
    <w:bookmarkStart w:id="42" w:name="misure-base"/>
    <w:p>
      <w:pPr>
        <w:pStyle w:val="Heading2"/>
      </w:pPr>
      <w:r>
        <w:t xml:space="preserve">5.1 Misure base</w:t>
      </w:r>
    </w:p>
    <w:p>
      <w:pPr>
        <w:pStyle w:val="SourceCode"/>
      </w:pPr>
      <w:r>
        <w:rPr>
          <w:rStyle w:val="VerbatimChar"/>
        </w:rPr>
        <w:t xml:space="preserve">-- Ultimo anno presente nel contesto filtrato</w:t>
      </w:r>
      <w:r>
        <w:br/>
      </w:r>
      <w:r>
        <w:rPr>
          <w:rStyle w:val="VerbatimChar"/>
        </w:rPr>
        <w:t xml:space="preserve">Ultimo_anno = MAX('ardeco_data'[YEAR])</w:t>
      </w:r>
      <w:r>
        <w:br/>
      </w:r>
      <w:r>
        <w:br/>
      </w:r>
      <w:r>
        <w:rPr>
          <w:rStyle w:val="VerbatimChar"/>
        </w:rPr>
        <w:t xml:space="preserve">-- Valore dell'ultimo anno disponibile nel contesto filtrato</w:t>
      </w:r>
      <w:r>
        <w:br/>
      </w:r>
      <w:r>
        <w:rPr>
          <w:rStyle w:val="VerbatimChar"/>
        </w:rPr>
        <w:t xml:space="preserve">Valore_ultimo_anno =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SUM('ardeco_data'[VALUE]),</w:t>
      </w:r>
      <w:r>
        <w:br/>
      </w:r>
      <w:r>
        <w:rPr>
          <w:rStyle w:val="VerbatimChar"/>
        </w:rPr>
        <w:t xml:space="preserve">    'ardeco_data'[YEAR] = [Ultimo_anno]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-- Valore totale regionale (ITC4), ultimo anno</w:t>
      </w:r>
      <w:r>
        <w:br/>
      </w:r>
      <w:r>
        <w:rPr>
          <w:rStyle w:val="VerbatimChar"/>
        </w:rPr>
        <w:t xml:space="preserve">Valore_regionale_ITC4 =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[Valore_ultimo_anno],</w:t>
      </w:r>
      <w:r>
        <w:br/>
      </w:r>
      <w:r>
        <w:rPr>
          <w:rStyle w:val="VerbatimChar"/>
        </w:rPr>
        <w:t xml:space="preserve">    'ardeco_data'[NUTSCODE] = "ITC4"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-- Numero di settori NACE distinti (per la pagina "Occupazione per settore")</w:t>
      </w:r>
      <w:r>
        <w:br/>
      </w:r>
      <w:r>
        <w:rPr>
          <w:rStyle w:val="VerbatimChar"/>
        </w:rPr>
        <w:t xml:space="preserve">N_settori_disponibili =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DISTINCTCOUNT('ardeco_data'[SECTOR]),</w:t>
      </w:r>
      <w:r>
        <w:br/>
      </w:r>
      <w:r>
        <w:rPr>
          <w:rStyle w:val="VerbatimChar"/>
        </w:rPr>
        <w:t xml:space="preserve">    NOT ISBLANK('ardeco_data'[SECTOR])</w:t>
      </w:r>
      <w:r>
        <w:br/>
      </w:r>
      <w:r>
        <w:rPr>
          <w:rStyle w:val="VerbatimChar"/>
        </w:rPr>
        <w:t xml:space="preserve">)</w:t>
      </w:r>
    </w:p>
    <w:bookmarkEnd w:id="42"/>
    <w:bookmarkStart w:id="43" w:name="misure-di-formato-italiano"/>
    <w:p>
      <w:pPr>
        <w:pStyle w:val="Heading2"/>
      </w:pPr>
      <w:r>
        <w:t xml:space="preserve">5.2 Misure di formato italiano</w:t>
      </w:r>
    </w:p>
    <w:p>
      <w:pPr>
        <w:pStyle w:val="FirstParagraph"/>
      </w:pPr>
      <w:r>
        <w:t xml:space="preserve">Power BI non offre separatore migliaia</w:t>
      </w:r>
      <w:r>
        <w:t xml:space="preserve"> </w:t>
      </w:r>
      <w:r>
        <w:t xml:space="preserve">“.”</w:t>
      </w:r>
      <w:r>
        <w:t xml:space="preserve"> </w:t>
      </w:r>
      <w:r>
        <w:t xml:space="preserve">e virgola decimale</w:t>
      </w:r>
      <w:r>
        <w:t xml:space="preserve"> </w:t>
      </w:r>
      <w:r>
        <w:t xml:space="preserve">“,”</w:t>
      </w:r>
      <w:r>
        <w:t xml:space="preserve"> </w:t>
      </w:r>
      <w:r>
        <w:t xml:space="preserve">in modo</w:t>
      </w:r>
      <w:r>
        <w:t xml:space="preserve"> </w:t>
      </w:r>
      <w:r>
        <w:t xml:space="preserve">nativo sulla KPI card in tutte le impostazioni internazionali; si usano</w:t>
      </w:r>
      <w:r>
        <w:t xml:space="preserve"> </w:t>
      </w:r>
      <w:r>
        <w:t xml:space="preserve">misure di testo dedicate:</w:t>
      </w:r>
    </w:p>
    <w:p>
      <w:pPr>
        <w:pStyle w:val="SourceCode"/>
      </w:pPr>
      <w:r>
        <w:rPr>
          <w:rStyle w:val="VerbatimChar"/>
        </w:rPr>
        <w:t xml:space="preserve">Formato_big_mark =</w:t>
      </w:r>
      <w:r>
        <w:br/>
      </w:r>
      <w:r>
        <w:rPr>
          <w:rStyle w:val="VerbatimChar"/>
        </w:rPr>
        <w:t xml:space="preserve">VAR v = [Valore_regionale_ITC4]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FORMAT(v, "#.##0", "it-IT")</w:t>
      </w:r>
      <w:r>
        <w:br/>
      </w:r>
      <w:r>
        <w:br/>
      </w:r>
      <w:r>
        <w:rPr>
          <w:rStyle w:val="VerbatimChar"/>
        </w:rPr>
        <w:t xml:space="preserve">Formato_percentuale =</w:t>
      </w:r>
      <w:r>
        <w:br/>
      </w:r>
      <w:r>
        <w:rPr>
          <w:rStyle w:val="VerbatimChar"/>
        </w:rPr>
        <w:t xml:space="preserve">VAR v = [Valore_regionale_ITC4]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FORMAT(v, "0,0", "it-IT") &amp; "%"</w:t>
      </w:r>
      <w:r>
        <w:br/>
      </w:r>
      <w:r>
        <w:br/>
      </w:r>
      <w:r>
        <w:rPr>
          <w:rStyle w:val="VerbatimChar"/>
        </w:rPr>
        <w:t xml:space="preserve">Formato_per_mille =</w:t>
      </w:r>
      <w:r>
        <w:br/>
      </w:r>
      <w:r>
        <w:rPr>
          <w:rStyle w:val="VerbatimChar"/>
        </w:rPr>
        <w:t xml:space="preserve">VAR v = [Valore_regionale_ITC4]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FORMAT(v, "0,00", "it-IT") &amp; "‰"</w:t>
      </w:r>
    </w:p>
    <w:bookmarkEnd w:id="43"/>
    <w:bookmarkStart w:id="44" w:name="titolo-card-con-anno"/>
    <w:p>
      <w:pPr>
        <w:pStyle w:val="Heading2"/>
      </w:pPr>
      <w:r>
        <w:t xml:space="preserve">5.3 Titolo card con anno</w:t>
      </w:r>
    </w:p>
    <w:p>
      <w:pPr>
        <w:pStyle w:val="FirstParagraph"/>
      </w:pPr>
      <w:r>
        <w:t xml:space="preserve">Per rispettare il requisito che l’anno compaia nella card:</w:t>
      </w:r>
    </w:p>
    <w:p>
      <w:pPr>
        <w:pStyle w:val="SourceCode"/>
      </w:pPr>
      <w:r>
        <w:rPr>
          <w:rStyle w:val="VerbatimChar"/>
        </w:rPr>
        <w:t xml:space="preserve">Titolo_card =</w:t>
      </w:r>
      <w:r>
        <w:br/>
      </w:r>
      <w:r>
        <w:rPr>
          <w:rStyle w:val="VerbatimChar"/>
        </w:rPr>
        <w:t xml:space="preserve">VAR anno = [Ultimo_anno]</w:t>
      </w:r>
      <w:r>
        <w:br/>
      </w:r>
      <w:r>
        <w:rPr>
          <w:rStyle w:val="VerbatimChar"/>
        </w:rPr>
        <w:t xml:space="preserve">VAR etichetta = SELECTEDVALUE('dim_variable'[label_it])</w:t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  etichetta &amp; " (" &amp; anno &amp; ")"</w:t>
      </w:r>
    </w:p>
    <w:p>
      <w:pPr>
        <w:pStyle w:val="FirstParagraph"/>
      </w:pPr>
      <w:r>
        <w:t xml:space="preserve">Impostare il titolo dinamico della visual card collegandolo a questa</w:t>
      </w:r>
      <w:r>
        <w:t xml:space="preserve"> </w:t>
      </w:r>
      <w:r>
        <w:t xml:space="preserve">misura.</w:t>
      </w:r>
    </w:p>
    <w:bookmarkEnd w:id="44"/>
    <w:bookmarkStart w:id="45" w:name="misura-diagnostica-monitoraggio-refresh"/>
    <w:p>
      <w:pPr>
        <w:pStyle w:val="Heading2"/>
      </w:pPr>
      <w:r>
        <w:t xml:space="preserve">5.4 Misura diagnostica (monitoraggio refresh)</w:t>
      </w:r>
    </w:p>
    <w:p>
      <w:pPr>
        <w:pStyle w:val="SourceCode"/>
      </w:pPr>
      <w:r>
        <w:rPr>
          <w:rStyle w:val="VerbatimChar"/>
        </w:rPr>
        <w:t xml:space="preserve">Diagnostica_righe =</w:t>
      </w:r>
      <w:r>
        <w:br/>
      </w:r>
      <w:r>
        <w:rPr>
          <w:rStyle w:val="VerbatimChar"/>
        </w:rPr>
        <w:t xml:space="preserve">"Righe: " &amp; FORMAT(COUNTROWS('ardeco_data'), "#.##0", "it-IT") &amp;</w:t>
      </w:r>
      <w:r>
        <w:br/>
      </w:r>
      <w:r>
        <w:rPr>
          <w:rStyle w:val="VerbatimChar"/>
        </w:rPr>
        <w:t xml:space="preserve">" | Ultimo anno: " &amp; [Ultimo_anno]</w:t>
      </w:r>
    </w:p>
    <w:bookmarkEnd w:id="45"/>
    <w:bookmarkEnd w:id="46"/>
    <w:bookmarkStart w:id="56" w:name="layout-delle-sei-pagine"/>
    <w:p>
      <w:pPr>
        <w:pStyle w:val="Heading1"/>
      </w:pPr>
      <w:r>
        <w:t xml:space="preserve">6. Layout delle sei pagine</w:t>
      </w:r>
    </w:p>
    <w:p>
      <w:pPr>
        <w:pStyle w:val="FirstParagraph"/>
      </w:pPr>
      <w:r>
        <w:t xml:space="preserve">Ogni pagina segue lo stesso schema: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Pannello slicer laterale</w:t>
      </w:r>
      <w:r>
        <w:t xml:space="preserve"> </w:t>
      </w:r>
      <w:r>
        <w:t xml:space="preserve">(sinistra, larghezza ~220 px)</w:t>
      </w:r>
    </w:p>
    <w:p>
      <w:pPr>
        <w:pStyle w:val="Compact"/>
        <w:numPr>
          <w:ilvl w:val="1"/>
          <w:numId w:val="1007"/>
        </w:numPr>
      </w:pPr>
      <w:r>
        <w:t xml:space="preserve">Slicer variabile (dropdown, valori da</w:t>
      </w:r>
      <w:r>
        <w:t xml:space="preserve"> </w:t>
      </w:r>
      <w:r>
        <w:rPr>
          <w:rStyle w:val="VerbatimChar"/>
        </w:rPr>
        <w:t xml:space="preserve">dim_variable</w:t>
      </w:r>
      <w:r>
        <w:t xml:space="preserve"> </w:t>
      </w:r>
      <w:r>
        <w:t xml:space="preserve">filtrato sul</w:t>
      </w:r>
      <w:r>
        <w:t xml:space="preserve"> </w:t>
      </w:r>
      <w:r>
        <w:t xml:space="preserve">gruppo della pagina)</w:t>
      </w:r>
    </w:p>
    <w:p>
      <w:pPr>
        <w:pStyle w:val="Compact"/>
        <w:numPr>
          <w:ilvl w:val="1"/>
          <w:numId w:val="1007"/>
        </w:numPr>
      </w:pPr>
      <w:r>
        <w:t xml:space="preserve">Slicer dimensioni secondarie (unità, sesso, età, settore) — visibili</w:t>
      </w:r>
      <w:r>
        <w:t xml:space="preserve"> </w:t>
      </w:r>
      <w:r>
        <w:t xml:space="preserve">solo se la variabile selezionata le supporta</w:t>
      </w:r>
    </w:p>
    <w:p>
      <w:pPr>
        <w:pStyle w:val="Compact"/>
        <w:numPr>
          <w:ilvl w:val="1"/>
          <w:numId w:val="1007"/>
        </w:numPr>
      </w:pPr>
      <w:r>
        <w:t xml:space="preserve">Descrizione testuale della variabile (card di testo da</w:t>
      </w:r>
      <w:r>
        <w:t xml:space="preserve"> </w:t>
      </w:r>
      <w:r>
        <w:rPr>
          <w:rStyle w:val="VerbatimChar"/>
        </w:rPr>
        <w:t xml:space="preserve">dim_variable[description_it]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Fascia superiore</w:t>
      </w:r>
      <w:r>
        <w:t xml:space="preserve"> </w:t>
      </w:r>
      <w:r>
        <w:t xml:space="preserve">(altezza ~120 px)</w:t>
      </w:r>
    </w:p>
    <w:p>
      <w:pPr>
        <w:pStyle w:val="Compact"/>
        <w:numPr>
          <w:ilvl w:val="1"/>
          <w:numId w:val="1008"/>
        </w:numPr>
      </w:pPr>
      <w:r>
        <w:t xml:space="preserve">Due</w:t>
      </w:r>
      <w:r>
        <w:t xml:space="preserve"> </w:t>
      </w:r>
      <w:r>
        <w:rPr>
          <w:b/>
          <w:bCs/>
        </w:rPr>
        <w:t xml:space="preserve">KPI card</w:t>
      </w:r>
      <w:r>
        <w:t xml:space="preserve"> </w:t>
      </w:r>
      <w:r>
        <w:t xml:space="preserve">affiancate (value box)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Fascia principale</w:t>
      </w:r>
      <w:r>
        <w:t xml:space="preserve"> </w:t>
      </w:r>
      <w:r>
        <w:t xml:space="preserve">(altezza ~880 px, due colonne)</w:t>
      </w:r>
    </w:p>
    <w:p>
      <w:pPr>
        <w:pStyle w:val="Compact"/>
        <w:numPr>
          <w:ilvl w:val="1"/>
          <w:numId w:val="1009"/>
        </w:numPr>
      </w:pPr>
      <w:r>
        <w:t xml:space="preserve">Colonna sinistra:</w:t>
      </w:r>
      <w:r>
        <w:t xml:space="preserve"> </w:t>
      </w:r>
      <w:r>
        <w:rPr>
          <w:b/>
          <w:bCs/>
        </w:rPr>
        <w:t xml:space="preserve">mappa coropletica NUTS-3</w:t>
      </w:r>
      <w:r>
        <w:t xml:space="preserve"> </w:t>
      </w:r>
      <w:r>
        <w:t xml:space="preserve">(ArcGIS Maps o Azure</w:t>
      </w:r>
      <w:r>
        <w:t xml:space="preserve"> </w:t>
      </w:r>
      <w:r>
        <w:t xml:space="preserve">Maps con shape file)</w:t>
      </w:r>
    </w:p>
    <w:p>
      <w:pPr>
        <w:pStyle w:val="Compact"/>
        <w:numPr>
          <w:ilvl w:val="1"/>
          <w:numId w:val="1009"/>
        </w:numPr>
      </w:pPr>
      <w:r>
        <w:t xml:space="preserve">Colonna destra:</w:t>
      </w:r>
      <w:r>
        <w:t xml:space="preserve"> </w:t>
      </w:r>
      <w:r>
        <w:rPr>
          <w:b/>
          <w:bCs/>
        </w:rPr>
        <w:t xml:space="preserve">grafico a linee</w:t>
      </w:r>
      <w:r>
        <w:t xml:space="preserve"> </w:t>
      </w:r>
      <w:r>
        <w:t xml:space="preserve">(serie storica)</w:t>
      </w:r>
    </w:p>
    <w:bookmarkStart w:id="47" w:name="pagina-1-popolazione-e-demografia"/>
    <w:p>
      <w:pPr>
        <w:pStyle w:val="Heading2"/>
      </w:pPr>
      <w:r>
        <w:t xml:space="preserve">6.1 Pagina 1 — Popolazione e demografia</w:t>
      </w:r>
    </w:p>
    <w:p>
      <w:pPr>
        <w:pStyle w:val="Compact"/>
        <w:numPr>
          <w:ilvl w:val="0"/>
          <w:numId w:val="1010"/>
        </w:numPr>
      </w:pPr>
      <w:r>
        <w:t xml:space="preserve">Gruppo:</w:t>
      </w:r>
      <w:r>
        <w:t xml:space="preserve"> </w:t>
      </w:r>
      <w:r>
        <w:rPr>
          <w:rStyle w:val="VerbatimChar"/>
        </w:rPr>
        <w:t xml:space="preserve">popolazione_demografia</w:t>
      </w:r>
    </w:p>
    <w:p>
      <w:pPr>
        <w:pStyle w:val="Compact"/>
        <w:numPr>
          <w:ilvl w:val="0"/>
          <w:numId w:val="1010"/>
        </w:numPr>
      </w:pPr>
      <w:r>
        <w:t xml:space="preserve">Variabili (12): SNPTD, SNPTN, SNPTZ, SNPBN, SNPDN, SNPDZ, SNPNN, SNMTN,</w:t>
      </w:r>
      <w:r>
        <w:t xml:space="preserve"> </w:t>
      </w:r>
      <w:r>
        <w:t xml:space="preserve">SNPCN, SNPCNP, SNMTNP, SPPAN</w:t>
      </w:r>
    </w:p>
    <w:p>
      <w:pPr>
        <w:pStyle w:val="Compact"/>
        <w:numPr>
          <w:ilvl w:val="0"/>
          <w:numId w:val="1010"/>
        </w:numPr>
      </w:pPr>
      <w:r>
        <w:t xml:space="preserve">Dimensioni applicabili: UNIT, SEX, AGE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KPI 1</w:t>
      </w:r>
      <w:r>
        <w:t xml:space="preserve">: Popolazione totale (Lombardia) — variabile SNPTD, unità NR,</w:t>
      </w:r>
      <w:r>
        <w:t xml:space="preserve"> </w:t>
      </w:r>
      <w:r>
        <w:t xml:space="preserve">formato</w:t>
      </w:r>
      <w:r>
        <w:t xml:space="preserve"> </w:t>
      </w:r>
      <w:r>
        <w:rPr>
          <w:rStyle w:val="VerbatimChar"/>
        </w:rPr>
        <w:t xml:space="preserve">big.mark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10.123.456</w:t>
      </w:r>
      <w:r>
        <w:t xml:space="preserve">). Icona suggerita: utenti/persone.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KPI 2</w:t>
      </w:r>
      <w:r>
        <w:t xml:space="preserve">: Variazione popolazione (Lombardia) — variabile SNPCN, unità</w:t>
      </w:r>
      <w:r>
        <w:t xml:space="preserve"> </w:t>
      </w:r>
      <w:r>
        <w:t xml:space="preserve">GROWRT, formato</w:t>
      </w:r>
      <w:r>
        <w:t xml:space="preserve"> </w:t>
      </w:r>
      <w:r>
        <w:rPr>
          <w:rStyle w:val="VerbatimChar"/>
        </w:rPr>
        <w:t xml:space="preserve">0,00‰</w:t>
      </w:r>
      <w:r>
        <w:t xml:space="preserve">. Icona: linea in crescita.</w:t>
      </w:r>
    </w:p>
    <w:bookmarkEnd w:id="47"/>
    <w:bookmarkStart w:id="48" w:name="pagina-2-mercato-del-lavoro"/>
    <w:p>
      <w:pPr>
        <w:pStyle w:val="Heading2"/>
      </w:pPr>
      <w:r>
        <w:t xml:space="preserve">6.2 Pagina 2 — Mercato del lavoro</w:t>
      </w:r>
    </w:p>
    <w:p>
      <w:pPr>
        <w:pStyle w:val="Compact"/>
        <w:numPr>
          <w:ilvl w:val="0"/>
          <w:numId w:val="1011"/>
        </w:numPr>
      </w:pPr>
      <w:r>
        <w:t xml:space="preserve">Gruppo:</w:t>
      </w:r>
      <w:r>
        <w:t xml:space="preserve"> </w:t>
      </w:r>
      <w:r>
        <w:rPr>
          <w:rStyle w:val="VerbatimChar"/>
        </w:rPr>
        <w:t xml:space="preserve">mercato_lavoro</w:t>
      </w:r>
    </w:p>
    <w:p>
      <w:pPr>
        <w:pStyle w:val="Compact"/>
        <w:numPr>
          <w:ilvl w:val="0"/>
          <w:numId w:val="1011"/>
        </w:numPr>
      </w:pPr>
      <w:r>
        <w:t xml:space="preserve">Variabili (11): RPECNP, RPUCNP, SNETD, SNETDP, SNWTD, RNECN, RNUTN,</w:t>
      </w:r>
      <w:r>
        <w:t xml:space="preserve"> </w:t>
      </w:r>
      <w:r>
        <w:t xml:space="preserve">RNLCN, RNLHT, RNLHTP, RNLHW</w:t>
      </w:r>
    </w:p>
    <w:p>
      <w:pPr>
        <w:pStyle w:val="Compact"/>
        <w:numPr>
          <w:ilvl w:val="0"/>
          <w:numId w:val="1011"/>
        </w:numPr>
      </w:pPr>
      <w:r>
        <w:t xml:space="preserve">Dimensioni applicabili: UNIT, SEX, AGE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KPI 1</w:t>
      </w:r>
      <w:r>
        <w:t xml:space="preserve">: Tasso di occupazione (Lombardia) — variabile RPECNP, unità</w:t>
      </w:r>
      <w:r>
        <w:t xml:space="preserve"> </w:t>
      </w:r>
      <w:r>
        <w:t xml:space="preserve">PC, formato</w:t>
      </w:r>
      <w:r>
        <w:t xml:space="preserve"> </w:t>
      </w:r>
      <w:r>
        <w:rPr>
          <w:rStyle w:val="VerbatimChar"/>
        </w:rPr>
        <w:t xml:space="preserve">0,0%</w:t>
      </w:r>
      <w:r>
        <w:t xml:space="preserve">. Icona: valigetta.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KPI 2</w:t>
      </w:r>
      <w:r>
        <w:t xml:space="preserve">: Tasso di disoccupazione (Lombardia) — variabile RPUCNP,</w:t>
      </w:r>
      <w:r>
        <w:t xml:space="preserve"> </w:t>
      </w:r>
      <w:r>
        <w:t xml:space="preserve">unità PC, formato</w:t>
      </w:r>
      <w:r>
        <w:t xml:space="preserve"> </w:t>
      </w:r>
      <w:r>
        <w:rPr>
          <w:rStyle w:val="VerbatimChar"/>
        </w:rPr>
        <w:t xml:space="preserve">0,0%</w:t>
      </w:r>
      <w:r>
        <w:t xml:space="preserve">. Icona: utente barrato.</w:t>
      </w:r>
    </w:p>
    <w:bookmarkEnd w:id="48"/>
    <w:bookmarkStart w:id="49" w:name="pagina-3-occupazione-per-settore"/>
    <w:p>
      <w:pPr>
        <w:pStyle w:val="Heading2"/>
      </w:pPr>
      <w:r>
        <w:t xml:space="preserve">6.3 Pagina 3 — Occupazione per settore</w:t>
      </w:r>
    </w:p>
    <w:p>
      <w:pPr>
        <w:pStyle w:val="Compact"/>
        <w:numPr>
          <w:ilvl w:val="0"/>
          <w:numId w:val="1012"/>
        </w:numPr>
      </w:pPr>
      <w:r>
        <w:t xml:space="preserve">Gruppo:</w:t>
      </w:r>
      <w:r>
        <w:t xml:space="preserve"> </w:t>
      </w:r>
      <w:r>
        <w:rPr>
          <w:rStyle w:val="VerbatimChar"/>
        </w:rPr>
        <w:t xml:space="preserve">occupazione_settore</w:t>
      </w:r>
    </w:p>
    <w:p>
      <w:pPr>
        <w:pStyle w:val="Compact"/>
        <w:numPr>
          <w:ilvl w:val="0"/>
          <w:numId w:val="1012"/>
        </w:numPr>
      </w:pPr>
      <w:r>
        <w:t xml:space="preserve">Variabili (2): SNETZ, RNLHZ</w:t>
      </w:r>
    </w:p>
    <w:p>
      <w:pPr>
        <w:pStyle w:val="Compact"/>
        <w:numPr>
          <w:ilvl w:val="0"/>
          <w:numId w:val="1012"/>
        </w:numPr>
      </w:pPr>
      <w:r>
        <w:t xml:space="preserve">Dimensioni applicabili: UNIT, SECTOR (critica)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KPI 1</w:t>
      </w:r>
      <w:r>
        <w:t xml:space="preserve">: Settori NACE disponibili — misura</w:t>
      </w:r>
      <w:r>
        <w:t xml:space="preserve"> </w:t>
      </w:r>
      <w:r>
        <w:rPr>
          <w:rStyle w:val="VerbatimChar"/>
        </w:rPr>
        <w:t xml:space="preserve">N_settori_disponibili</w:t>
      </w:r>
      <w:r>
        <w:t xml:space="preserve">,</w:t>
      </w:r>
      <w:r>
        <w:t xml:space="preserve"> </w:t>
      </w:r>
      <w:r>
        <w:t xml:space="preserve">formato intero. Icona: edificio.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KPI 2</w:t>
      </w:r>
      <w:r>
        <w:t xml:space="preserve">: Ultimo anno disponibile — misura</w:t>
      </w:r>
      <w:r>
        <w:t xml:space="preserve"> </w:t>
      </w:r>
      <w:r>
        <w:rPr>
          <w:rStyle w:val="VerbatimChar"/>
        </w:rPr>
        <w:t xml:space="preserve">Ultimo_anno</w:t>
      </w:r>
      <w:r>
        <w:t xml:space="preserve">, formato</w:t>
      </w:r>
      <w:r>
        <w:t xml:space="preserve"> </w:t>
      </w:r>
      <w:r>
        <w:t xml:space="preserve">intero. Icona: calendario.</w:t>
      </w:r>
    </w:p>
    <w:p>
      <w:pPr>
        <w:pStyle w:val="FirstParagraph"/>
      </w:pPr>
      <w:r>
        <w:rPr>
          <w:b/>
          <w:bCs/>
        </w:rPr>
        <w:t xml:space="preserve">Nota</w:t>
      </w:r>
      <w:r>
        <w:t xml:space="preserve">: questa pagina sostituisce il classico grafico con una versione</w:t>
      </w:r>
      <w:r>
        <w:t xml:space="preserve"> </w:t>
      </w:r>
      <w:r>
        <w:t xml:space="preserve">settoriale: linee colorate, una per ciascun settore NACE, aggregando i</w:t>
      </w:r>
      <w:r>
        <w:t xml:space="preserve"> </w:t>
      </w:r>
      <w:r>
        <w:t xml:space="preserve">valori sulle 12 province (somma o media secondo l’unità).</w:t>
      </w:r>
    </w:p>
    <w:bookmarkEnd w:id="49"/>
    <w:bookmarkStart w:id="50" w:name="pagina-4-pil-e-valore-aggiunto"/>
    <w:p>
      <w:pPr>
        <w:pStyle w:val="Heading2"/>
      </w:pPr>
      <w:r>
        <w:t xml:space="preserve">6.4 Pagina 4 — PIL e valore aggiunto</w:t>
      </w:r>
    </w:p>
    <w:p>
      <w:pPr>
        <w:pStyle w:val="Compact"/>
        <w:numPr>
          <w:ilvl w:val="0"/>
          <w:numId w:val="1013"/>
        </w:numPr>
      </w:pPr>
      <w:r>
        <w:t xml:space="preserve">Gruppo:</w:t>
      </w:r>
      <w:r>
        <w:t xml:space="preserve"> </w:t>
      </w:r>
      <w:r>
        <w:rPr>
          <w:rStyle w:val="VerbatimChar"/>
        </w:rPr>
        <w:t xml:space="preserve">pil_valore_aggiunto</w:t>
      </w:r>
    </w:p>
    <w:p>
      <w:pPr>
        <w:pStyle w:val="Compact"/>
        <w:numPr>
          <w:ilvl w:val="0"/>
          <w:numId w:val="1013"/>
        </w:numPr>
      </w:pPr>
      <w:r>
        <w:t xml:space="preserve">Variabili (14): SUVGD, SOVGD, SUVGE, SOVGE, SUVGZ, SOVGZ, SUVGDH,</w:t>
      </w:r>
      <w:r>
        <w:t xml:space="preserve"> </w:t>
      </w:r>
      <w:r>
        <w:t xml:space="preserve">SUVGDE, SOVGDH, SOVGDE, SUVGDP, SOVGDP, SPVGD, SPVGE</w:t>
      </w:r>
    </w:p>
    <w:p>
      <w:pPr>
        <w:pStyle w:val="Compact"/>
        <w:numPr>
          <w:ilvl w:val="0"/>
          <w:numId w:val="1013"/>
        </w:numPr>
      </w:pPr>
      <w:r>
        <w:t xml:space="preserve">Dimensioni applicabili: UNIT, SECTOR (per SUVGZ/SOVGZ)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KPI 1</w:t>
      </w:r>
      <w:r>
        <w:t xml:space="preserve">: PIL corrente (Lombardia) — variabile SUVGD, unità MIO_EUR,</w:t>
      </w:r>
      <w:r>
        <w:t xml:space="preserve"> </w:t>
      </w:r>
      <w:r>
        <w:t xml:space="preserve">formato</w:t>
      </w:r>
      <w:r>
        <w:t xml:space="preserve"> </w:t>
      </w:r>
      <w:r>
        <w:rPr>
          <w:rStyle w:val="VerbatimChar"/>
        </w:rPr>
        <w:t xml:space="preserve">big.mark</w:t>
      </w:r>
      <w:r>
        <w:t xml:space="preserve">. Icona: euro.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KPI 2</w:t>
      </w:r>
      <w:r>
        <w:t xml:space="preserve">: PIL costante (Lombardia) — variabile SOVGD, unità</w:t>
      </w:r>
      <w:r>
        <w:t xml:space="preserve"> </w:t>
      </w:r>
      <w:r>
        <w:t xml:space="preserve">MIO_EUR2015, formato</w:t>
      </w:r>
      <w:r>
        <w:t xml:space="preserve"> </w:t>
      </w:r>
      <w:r>
        <w:rPr>
          <w:rStyle w:val="VerbatimChar"/>
        </w:rPr>
        <w:t xml:space="preserve">big.mark</w:t>
      </w:r>
      <w:r>
        <w:t xml:space="preserve">. Icona: grafico a barre.</w:t>
      </w:r>
    </w:p>
    <w:bookmarkEnd w:id="50"/>
    <w:bookmarkStart w:id="51" w:name="pagina-5-reddito-e-compensi"/>
    <w:p>
      <w:pPr>
        <w:pStyle w:val="Heading2"/>
      </w:pPr>
      <w:r>
        <w:t xml:space="preserve">6.5 Pagina 5 — Reddito e compensi</w:t>
      </w:r>
    </w:p>
    <w:p>
      <w:pPr>
        <w:pStyle w:val="Compact"/>
        <w:numPr>
          <w:ilvl w:val="0"/>
          <w:numId w:val="1014"/>
        </w:numPr>
      </w:pPr>
      <w:r>
        <w:t xml:space="preserve">Gruppo:</w:t>
      </w:r>
      <w:r>
        <w:t xml:space="preserve"> </w:t>
      </w:r>
      <w:r>
        <w:rPr>
          <w:rStyle w:val="VerbatimChar"/>
        </w:rPr>
        <w:t xml:space="preserve">reddito_compensi</w:t>
      </w:r>
    </w:p>
    <w:p>
      <w:pPr>
        <w:pStyle w:val="Compact"/>
        <w:numPr>
          <w:ilvl w:val="0"/>
          <w:numId w:val="1014"/>
        </w:numPr>
      </w:pPr>
      <w:r>
        <w:t xml:space="preserve">Variabili (9): RUWCD, ROWCD, ROWCDH, RUWCDW, ROWCDW, RUWCDHH, RUWCDWE,</w:t>
      </w:r>
      <w:r>
        <w:t xml:space="preserve"> </w:t>
      </w:r>
      <w:r>
        <w:t xml:space="preserve">RUWCZ, ROWCZ</w:t>
      </w:r>
    </w:p>
    <w:p>
      <w:pPr>
        <w:pStyle w:val="Compact"/>
        <w:numPr>
          <w:ilvl w:val="0"/>
          <w:numId w:val="1014"/>
        </w:numPr>
      </w:pPr>
      <w:r>
        <w:t xml:space="preserve">Dimensioni applicabili: UNIT, SECTOR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KPI 1</w:t>
      </w:r>
      <w:r>
        <w:t xml:space="preserve">: Compensi correnti (Lombardia) — variabile RUWCD, unità</w:t>
      </w:r>
      <w:r>
        <w:t xml:space="preserve"> </w:t>
      </w:r>
      <w:r>
        <w:t xml:space="preserve">MIO_EUR, formato</w:t>
      </w:r>
      <w:r>
        <w:t xml:space="preserve"> </w:t>
      </w:r>
      <w:r>
        <w:rPr>
          <w:rStyle w:val="VerbatimChar"/>
        </w:rPr>
        <w:t xml:space="preserve">big.mark</w:t>
      </w:r>
      <w:r>
        <w:t xml:space="preserve">. Icona: portafoglio.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KPI 2</w:t>
      </w:r>
      <w:r>
        <w:t xml:space="preserve">: Compensi costanti (Lombardia) — variabile ROWCD, unità</w:t>
      </w:r>
      <w:r>
        <w:t xml:space="preserve"> </w:t>
      </w:r>
      <w:r>
        <w:t xml:space="preserve">MIO_EUR2015, formato</w:t>
      </w:r>
      <w:r>
        <w:t xml:space="preserve"> </w:t>
      </w:r>
      <w:r>
        <w:rPr>
          <w:rStyle w:val="VerbatimChar"/>
        </w:rPr>
        <w:t xml:space="preserve">big.mark</w:t>
      </w:r>
      <w:r>
        <w:t xml:space="preserve">. Icona: portafoglio.</w:t>
      </w:r>
    </w:p>
    <w:bookmarkEnd w:id="51"/>
    <w:bookmarkStart w:id="52" w:name="pagina-6-formazione-del-capitale"/>
    <w:p>
      <w:pPr>
        <w:pStyle w:val="Heading2"/>
      </w:pPr>
      <w:r>
        <w:t xml:space="preserve">6.6 Pagina 6 — Formazione del capitale</w:t>
      </w:r>
    </w:p>
    <w:p>
      <w:pPr>
        <w:pStyle w:val="Compact"/>
        <w:numPr>
          <w:ilvl w:val="0"/>
          <w:numId w:val="1015"/>
        </w:numPr>
      </w:pPr>
      <w:r>
        <w:t xml:space="preserve">Gruppo:</w:t>
      </w:r>
      <w:r>
        <w:t xml:space="preserve"> </w:t>
      </w:r>
      <w:r>
        <w:rPr>
          <w:rStyle w:val="VerbatimChar"/>
        </w:rPr>
        <w:t xml:space="preserve">formazione_capitale</w:t>
      </w:r>
    </w:p>
    <w:p>
      <w:pPr>
        <w:pStyle w:val="Compact"/>
        <w:numPr>
          <w:ilvl w:val="0"/>
          <w:numId w:val="1015"/>
        </w:numPr>
      </w:pPr>
      <w:r>
        <w:t xml:space="preserve">Variabili (9): RUIGT, ROIGT, RUIGZ, ROIGZ, ROKND, SUKCT, SOKCT, SUKCZ,</w:t>
      </w:r>
      <w:r>
        <w:t xml:space="preserve"> </w:t>
      </w:r>
      <w:r>
        <w:t xml:space="preserve">SOKCZ</w:t>
      </w:r>
    </w:p>
    <w:p>
      <w:pPr>
        <w:pStyle w:val="Compact"/>
        <w:numPr>
          <w:ilvl w:val="0"/>
          <w:numId w:val="1015"/>
        </w:numPr>
      </w:pPr>
      <w:r>
        <w:t xml:space="preserve">Dimensioni applicabili: UNIT, SECTOR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KPI 1</w:t>
      </w:r>
      <w:r>
        <w:t xml:space="preserve">: FBCF corrente (Lombardia) — variabile RUIGT, unità MIO_EUR,</w:t>
      </w:r>
      <w:r>
        <w:t xml:space="preserve"> </w:t>
      </w:r>
      <w:r>
        <w:t xml:space="preserve">formato</w:t>
      </w:r>
      <w:r>
        <w:t xml:space="preserve"> </w:t>
      </w:r>
      <w:r>
        <w:rPr>
          <w:rStyle w:val="VerbatimChar"/>
        </w:rPr>
        <w:t xml:space="preserve">big.mark</w:t>
      </w:r>
      <w:r>
        <w:t xml:space="preserve">. Icona: martello.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KPI 2</w:t>
      </w:r>
      <w:r>
        <w:t xml:space="preserve">: FBCF costante (Lombardia) — variabile ROIGT, unità</w:t>
      </w:r>
      <w:r>
        <w:t xml:space="preserve"> </w:t>
      </w:r>
      <w:r>
        <w:t xml:space="preserve">MIO_EUR2015, formato</w:t>
      </w:r>
      <w:r>
        <w:t xml:space="preserve"> </w:t>
      </w:r>
      <w:r>
        <w:rPr>
          <w:rStyle w:val="VerbatimChar"/>
        </w:rPr>
        <w:t xml:space="preserve">big.mark</w:t>
      </w:r>
      <w:r>
        <w:t xml:space="preserve">. Icona: attrezzi.</w:t>
      </w:r>
    </w:p>
    <w:bookmarkEnd w:id="52"/>
    <w:bookmarkStart w:id="53" w:name="sintesi-kpi"/>
    <w:p>
      <w:pPr>
        <w:pStyle w:val="Heading2"/>
      </w:pPr>
      <w:r>
        <w:t xml:space="preserve">6.7 Sintesi 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Pagina</w:t>
            </w:r>
          </w:p>
        </w:tc>
        <w:tc>
          <w:tcPr/>
          <w:p>
            <w:pPr>
              <w:pStyle w:val="Compact"/>
            </w:pPr>
            <w:r>
              <w:t xml:space="preserve">KPI 1 var / unità</w:t>
            </w:r>
          </w:p>
        </w:tc>
        <w:tc>
          <w:tcPr/>
          <w:p>
            <w:pPr>
              <w:pStyle w:val="Compact"/>
            </w:pPr>
            <w:r>
              <w:t xml:space="preserve">KPI 2 var / unità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Popolazione</w:t>
            </w:r>
          </w:p>
        </w:tc>
        <w:tc>
          <w:tcPr/>
          <w:p>
            <w:pPr>
              <w:pStyle w:val="Compact"/>
            </w:pPr>
            <w:r>
              <w:t xml:space="preserve">SNPTD / NR</w:t>
            </w:r>
          </w:p>
        </w:tc>
        <w:tc>
          <w:tcPr/>
          <w:p>
            <w:pPr>
              <w:pStyle w:val="Compact"/>
            </w:pPr>
            <w:r>
              <w:t xml:space="preserve">SNPCN / GROWRT</w:t>
            </w:r>
          </w:p>
        </w:tc>
        <w:tc>
          <w:tcPr/>
          <w:p>
            <w:pPr>
              <w:pStyle w:val="Compact"/>
            </w:pPr>
            <w:r>
              <w:t xml:space="preserve">big.mark;</w:t>
            </w:r>
            <w:r>
              <w:t xml:space="preserve"> </w:t>
            </w:r>
            <w:r>
              <w:rPr>
                <w:rStyle w:val="VerbatimChar"/>
              </w:rPr>
              <w:t xml:space="preserve">0,00‰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Lavoro</w:t>
            </w:r>
          </w:p>
        </w:tc>
        <w:tc>
          <w:tcPr/>
          <w:p>
            <w:pPr>
              <w:pStyle w:val="Compact"/>
            </w:pPr>
            <w:r>
              <w:t xml:space="preserve">RPECNP / PC</w:t>
            </w:r>
          </w:p>
        </w:tc>
        <w:tc>
          <w:tcPr/>
          <w:p>
            <w:pPr>
              <w:pStyle w:val="Compact"/>
            </w:pPr>
            <w:r>
              <w:t xml:space="preserve">RPUCNP / PC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0,0%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0,0%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Occupazione settore</w:t>
            </w:r>
          </w:p>
        </w:tc>
        <w:tc>
          <w:tcPr/>
          <w:p>
            <w:pPr>
              <w:pStyle w:val="Compact"/>
            </w:pPr>
            <w:r>
              <w:t xml:space="preserve">N_settori</w:t>
            </w:r>
          </w:p>
        </w:tc>
        <w:tc>
          <w:tcPr/>
          <w:p>
            <w:pPr>
              <w:pStyle w:val="Compact"/>
            </w:pPr>
            <w:r>
              <w:t xml:space="preserve">Ultimo_anno</w:t>
            </w:r>
          </w:p>
        </w:tc>
        <w:tc>
          <w:tcPr/>
          <w:p>
            <w:pPr>
              <w:pStyle w:val="Compact"/>
            </w:pPr>
            <w:r>
              <w:t xml:space="preserve">intero; intero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</w:t>
            </w:r>
          </w:p>
        </w:tc>
        <w:tc>
          <w:tcPr/>
          <w:p>
            <w:pPr>
              <w:pStyle w:val="Compact"/>
            </w:pPr>
            <w:r>
              <w:t xml:space="preserve">SUVGD / MIO_EUR</w:t>
            </w:r>
          </w:p>
        </w:tc>
        <w:tc>
          <w:tcPr/>
          <w:p>
            <w:pPr>
              <w:pStyle w:val="Compact"/>
            </w:pPr>
            <w:r>
              <w:t xml:space="preserve">SOVGD / MIO_EUR2015</w:t>
            </w:r>
          </w:p>
        </w:tc>
        <w:tc>
          <w:tcPr/>
          <w:p>
            <w:pPr>
              <w:pStyle w:val="Compact"/>
            </w:pPr>
            <w:r>
              <w:t xml:space="preserve">big.mark; big.mark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Reddito</w:t>
            </w:r>
          </w:p>
        </w:tc>
        <w:tc>
          <w:tcPr/>
          <w:p>
            <w:pPr>
              <w:pStyle w:val="Compact"/>
            </w:pPr>
            <w:r>
              <w:t xml:space="preserve">RUWCD / MIO_EUR</w:t>
            </w:r>
          </w:p>
        </w:tc>
        <w:tc>
          <w:tcPr/>
          <w:p>
            <w:pPr>
              <w:pStyle w:val="Compact"/>
            </w:pPr>
            <w:r>
              <w:t xml:space="preserve">ROWCD / MIO_EUR2015</w:t>
            </w:r>
          </w:p>
        </w:tc>
        <w:tc>
          <w:tcPr/>
          <w:p>
            <w:pPr>
              <w:pStyle w:val="Compact"/>
            </w:pPr>
            <w:r>
              <w:t xml:space="preserve">big.mark; big.mark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Capitale</w:t>
            </w:r>
          </w:p>
        </w:tc>
        <w:tc>
          <w:tcPr/>
          <w:p>
            <w:pPr>
              <w:pStyle w:val="Compact"/>
            </w:pPr>
            <w:r>
              <w:t xml:space="preserve">RUIGT / MIO_EUR</w:t>
            </w:r>
          </w:p>
        </w:tc>
        <w:tc>
          <w:tcPr/>
          <w:p>
            <w:pPr>
              <w:pStyle w:val="Compact"/>
            </w:pPr>
            <w:r>
              <w:t xml:space="preserve">ROIGT / MIO_EUR2015</w:t>
            </w:r>
          </w:p>
        </w:tc>
        <w:tc>
          <w:tcPr/>
          <w:p>
            <w:pPr>
              <w:pStyle w:val="Compact"/>
            </w:pPr>
            <w:r>
              <w:t xml:space="preserve">big.mark; big.mark</w:t>
            </w:r>
          </w:p>
        </w:tc>
      </w:tr>
    </w:tbl>
    <w:bookmarkEnd w:id="53"/>
    <w:bookmarkStart w:id="54" w:name="specifiche-mappa-coropletica"/>
    <w:p>
      <w:pPr>
        <w:pStyle w:val="Heading2"/>
      </w:pPr>
      <w:r>
        <w:t xml:space="preserve">6.8 Specifiche mappa coropletica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Visual</w:t>
      </w:r>
      <w:r>
        <w:t xml:space="preserve">: ArcGIS Maps for Power BI o Azure Maps (fill layer) — non</w:t>
      </w:r>
      <w:r>
        <w:t xml:space="preserve"> </w:t>
      </w:r>
      <w:r>
        <w:t xml:space="preserve">usare il visual Map standard, che non supporta join su shapefile</w:t>
      </w:r>
      <w:r>
        <w:t xml:space="preserve"> </w:t>
      </w:r>
      <w:r>
        <w:t xml:space="preserve">personalizzati.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Fonte geometrie</w:t>
      </w:r>
      <w:r>
        <w:t xml:space="preserve">:</w:t>
      </w:r>
      <w:r>
        <w:t xml:space="preserve"> </w:t>
      </w:r>
      <w:r>
        <w:rPr>
          <w:rStyle w:val="VerbatimChar"/>
        </w:rPr>
        <w:t xml:space="preserve">lombardia_nuts3.geojson</w:t>
      </w:r>
      <w:r>
        <w:t xml:space="preserve"> </w:t>
      </w:r>
      <w:r>
        <w:t xml:space="preserve">(o TopoJSON).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Chiave di join</w:t>
      </w:r>
      <w:r>
        <w:t xml:space="preserve">:</w:t>
      </w:r>
      <w:r>
        <w:t xml:space="preserve"> </w:t>
      </w:r>
      <w:r>
        <w:rPr>
          <w:rStyle w:val="VerbatimChar"/>
        </w:rPr>
        <w:t xml:space="preserve">NUTS_ID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ardeco_data[NUTSCODE]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Campo misura</w:t>
      </w:r>
      <w:r>
        <w:t xml:space="preserve">:</w:t>
      </w:r>
      <w:r>
        <w:t xml:space="preserve"> </w:t>
      </w:r>
      <w:r>
        <w:rPr>
          <w:rStyle w:val="VerbatimChar"/>
        </w:rPr>
        <w:t xml:space="preserve">[Valore_ultimo_anno]</w:t>
      </w:r>
      <w:r>
        <w:t xml:space="preserve"> </w:t>
      </w:r>
      <w:r>
        <w:t xml:space="preserve">filtrato sulla variabile e</w:t>
      </w:r>
      <w:r>
        <w:t xml:space="preserve"> </w:t>
      </w:r>
      <w:r>
        <w:t xml:space="preserve">unità selezionate.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Scala colore</w:t>
      </w:r>
      <w:r>
        <w:t xml:space="preserve">: palette Blues sequenziale (5 classi), valori mancanti</w:t>
      </w:r>
      <w:r>
        <w:t xml:space="preserve"> </w:t>
      </w:r>
      <w:r>
        <w:t xml:space="preserve">in grigio chiaro</w:t>
      </w:r>
      <w:r>
        <w:t xml:space="preserve"> </w:t>
      </w:r>
      <w:r>
        <w:rPr>
          <w:rStyle w:val="VerbatimChar"/>
        </w:rPr>
        <w:t xml:space="preserve">#CCCCCC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Tile di base</w:t>
      </w:r>
      <w:r>
        <w:t xml:space="preserve">: cartografia neutra chiara (CartoDB Positron o</w:t>
      </w:r>
      <w:r>
        <w:t xml:space="preserve"> </w:t>
      </w:r>
      <w:r>
        <w:t xml:space="preserve">equivalente Azure Maps</w:t>
      </w:r>
      <w:r>
        <w:t xml:space="preserve"> </w:t>
      </w:r>
      <w:r>
        <w:t xml:space="preserve">“grayscale_light”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Popup</w:t>
      </w:r>
      <w:r>
        <w:t xml:space="preserve">:</w:t>
      </w:r>
      <w:r>
        <w:t xml:space="preserve"> </w:t>
      </w:r>
      <w:r>
        <w:rPr>
          <w:rStyle w:val="VerbatimChar"/>
        </w:rPr>
        <w:t xml:space="preserve">NUTS_ID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NAME_LATN</w:t>
      </w:r>
      <w:r>
        <w:t xml:space="preserve">, etichetta variabile, anno, valore.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Estensione iniziale</w:t>
      </w:r>
      <w:r>
        <w:t xml:space="preserve">: bounding box Lombardia</w:t>
      </w:r>
      <w:r>
        <w:t xml:space="preserve"> </w:t>
      </w:r>
      <w:r>
        <w:rPr>
          <w:rStyle w:val="VerbatimChar"/>
        </w:rPr>
        <w:t xml:space="preserve">[8.49, 44.68]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[11.43, 46.64]</w:t>
      </w:r>
      <w:r>
        <w:t xml:space="preserve">.</w:t>
      </w:r>
    </w:p>
    <w:bookmarkEnd w:id="54"/>
    <w:bookmarkStart w:id="55" w:name="specifiche-grafico-serie-storica"/>
    <w:p>
      <w:pPr>
        <w:pStyle w:val="Heading2"/>
      </w:pPr>
      <w:r>
        <w:t xml:space="preserve">6.9 Specifiche grafico serie storica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Visual</w:t>
      </w:r>
      <w:r>
        <w:t xml:space="preserve">: Line chart nativo Power BI, asse X =</w:t>
      </w:r>
      <w:r>
        <w:t xml:space="preserve"> </w:t>
      </w:r>
      <w:r>
        <w:rPr>
          <w:rStyle w:val="VerbatimChar"/>
        </w:rPr>
        <w:t xml:space="preserve">YEAR</w:t>
      </w:r>
      <w:r>
        <w:t xml:space="preserve">, valori =</w:t>
      </w:r>
      <w:r>
        <w:t xml:space="preserve"> </w:t>
      </w:r>
      <w:r>
        <w:rPr>
          <w:rStyle w:val="VerbatimChar"/>
        </w:rPr>
        <w:t xml:space="preserve">[Valore_ultimo_anno]</w:t>
      </w:r>
      <w:r>
        <w:t xml:space="preserve"> </w:t>
      </w:r>
      <w:r>
        <w:t xml:space="preserve">(o misura equivalente senza filtro temporale).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Serie</w:t>
      </w:r>
      <w:r>
        <w:t xml:space="preserve">:</w:t>
      </w:r>
      <w:r>
        <w:t xml:space="preserve"> </w:t>
      </w:r>
      <w:r>
        <w:rPr>
          <w:rStyle w:val="VerbatimChar"/>
        </w:rPr>
        <w:t xml:space="preserve">NUTSCODE</w:t>
      </w:r>
      <w:r>
        <w:t xml:space="preserve"> </w:t>
      </w:r>
      <w:r>
        <w:t xml:space="preserve">(una linea per provincia + 1 per ITC4).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Differenziazione regione vs province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ITC4 (regione): linea nera spessa (3 px), sempre visibile.</w:t>
      </w:r>
    </w:p>
    <w:p>
      <w:pPr>
        <w:pStyle w:val="Compact"/>
        <w:numPr>
          <w:ilvl w:val="1"/>
          <w:numId w:val="1018"/>
        </w:numPr>
      </w:pPr>
      <w:r>
        <w:t xml:space="preserve">ITC41–ITC4D (province): linee sottili (1,5 px), colore CVD-safe,</w:t>
      </w:r>
      <w:r>
        <w:t xml:space="preserve"> </w:t>
      </w:r>
      <w:r>
        <w:t xml:space="preserve">nascoste di default tramite legenda (l’utente le attiva cliccando).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Legenda</w:t>
      </w:r>
      <w:r>
        <w:t xml:space="preserve">: orizzontale in basso, etichette con</w:t>
      </w:r>
      <w:r>
        <w:t xml:space="preserve"> </w:t>
      </w:r>
      <w:r>
        <w:rPr>
          <w:rStyle w:val="VerbatimChar"/>
        </w:rPr>
        <w:t xml:space="preserve">NAME_LATN</w:t>
      </w:r>
      <w:r>
        <w:t xml:space="preserve"> </w:t>
      </w:r>
      <w:r>
        <w:t xml:space="preserve">(nome</w:t>
      </w:r>
      <w:r>
        <w:t xml:space="preserve"> </w:t>
      </w:r>
      <w:r>
        <w:t xml:space="preserve">provincia in italiano).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Tooltip</w:t>
      </w:r>
      <w:r>
        <w:t xml:space="preserve">: mostra nome provincia, anno, valore formattato.</w:t>
      </w:r>
    </w:p>
    <w:p>
      <w:pPr>
        <w:pStyle w:val="Compact"/>
        <w:numPr>
          <w:ilvl w:val="0"/>
          <w:numId w:val="1017"/>
        </w:numPr>
      </w:pPr>
      <w:r>
        <w:t xml:space="preserve">Per raggiungere il comportamento</w:t>
      </w:r>
      <w:r>
        <w:t xml:space="preserve"> </w:t>
      </w:r>
      <w:r>
        <w:t xml:space="preserve">“nascoste di default”</w:t>
      </w:r>
      <w:r>
        <w:t xml:space="preserve">, impostare nelle</w:t>
      </w:r>
      <w:r>
        <w:t xml:space="preserve"> </w:t>
      </w:r>
      <w:r>
        <w:t xml:space="preserve">condizioni di formattazione la trasparenza al 100% per le serie</w:t>
      </w:r>
      <w:r>
        <w:t xml:space="preserve"> </w:t>
      </w:r>
      <w:r>
        <w:t xml:space="preserve">diverse da ITC4; l’utente ripristina la visibilità dalla legenda.</w:t>
      </w:r>
    </w:p>
    <w:bookmarkEnd w:id="55"/>
    <w:bookmarkEnd w:id="56"/>
    <w:bookmarkStart w:id="60" w:name="tema-colore-accessibile-cvd-safe"/>
    <w:p>
      <w:pPr>
        <w:pStyle w:val="Heading1"/>
      </w:pPr>
      <w:r>
        <w:t xml:space="preserve">7. Tema colore accessibile (CVD-safe)</w:t>
      </w:r>
    </w:p>
    <w:bookmarkStart w:id="57" w:name="palette"/>
    <w:p>
      <w:pPr>
        <w:pStyle w:val="Heading2"/>
      </w:pPr>
      <w:r>
        <w:t xml:space="preserve">7.1 Palette</w:t>
      </w:r>
    </w:p>
    <w:p>
      <w:pPr>
        <w:pStyle w:val="FirstParagraph"/>
      </w:pPr>
      <w:r>
        <w:t xml:space="preserve">La dashboard R usa una combinazione delle palette</w:t>
      </w:r>
      <w:r>
        <w:t xml:space="preserve"> </w:t>
      </w:r>
      <w:r>
        <w:rPr>
          <w:b/>
          <w:bCs/>
        </w:rPr>
        <w:t xml:space="preserve">Paul Tol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Okabe-Ito</w:t>
      </w:r>
      <w:r>
        <w:t xml:space="preserve"> </w:t>
      </w:r>
      <w:r>
        <w:t xml:space="preserve">per garantire distinguibilità con deuteranopia, protanopia</w:t>
      </w:r>
      <w:r>
        <w:t xml:space="preserve"> </w:t>
      </w:r>
      <w:r>
        <w:t xml:space="preserve">e tritanopia: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#CC6677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#332288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#DDCC77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#117733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#88CCEE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#882255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#44AA99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#999933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#AA4499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#E69F00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#56B4E9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#D55E00</w:t>
            </w:r>
          </w:p>
        </w:tc>
      </w:tr>
    </w:tbl>
    <w:bookmarkEnd w:id="57"/>
    <w:bookmarkStart w:id="58" w:name="file-tema-ardeco_theme.json"/>
    <w:p>
      <w:pPr>
        <w:pStyle w:val="Heading2"/>
      </w:pPr>
      <w:r>
        <w:t xml:space="preserve">7.2 File tema</w:t>
      </w:r>
      <w:r>
        <w:t xml:space="preserve"> </w:t>
      </w:r>
      <w:r>
        <w:rPr>
          <w:rStyle w:val="VerbatimChar"/>
        </w:rPr>
        <w:t xml:space="preserve">ardeco_theme.json</w:t>
      </w:r>
    </w:p>
    <w:p>
      <w:pPr>
        <w:pStyle w:val="FirstParagraph"/>
      </w:pPr>
      <w:r>
        <w:t xml:space="preserve">Struttura minima da salvare e applicare via</w:t>
      </w:r>
      <w:r>
        <w:t xml:space="preserve"> </w:t>
      </w:r>
      <w:r>
        <w:rPr>
          <w:b/>
          <w:bCs/>
        </w:rPr>
        <w:t xml:space="preserve">Visualizzazioni &gt; Sfoglia</w:t>
      </w:r>
      <w:r>
        <w:rPr>
          <w:b/>
          <w:bCs/>
        </w:rPr>
        <w:t xml:space="preserve"> </w:t>
      </w:r>
      <w:r>
        <w:rPr>
          <w:b/>
          <w:bCs/>
        </w:rPr>
        <w:t xml:space="preserve">temi &gt; Cerca temi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"ARDECO Lombardia"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"dataColors"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"#CC6677"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"#332288"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"#DDCC77"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"#117733"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"#88CCEE"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"#882255"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"#44AA99"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"#999933"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"#AA4499"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"#E69F00"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"#56B4E9"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"#D55E00"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"foreground"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"tableAccent"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"#332288"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codifica-ridondante"/>
    <w:p>
      <w:pPr>
        <w:pStyle w:val="Heading2"/>
      </w:pPr>
      <w:r>
        <w:t xml:space="preserve">7.3 Codifica ridondante</w:t>
      </w:r>
    </w:p>
    <w:p>
      <w:pPr>
        <w:pStyle w:val="FirstParagraph"/>
      </w:pPr>
      <w:r>
        <w:t xml:space="preserve">Nei grafici con molte serie (serie storica provinciale, pagina settori),</w:t>
      </w:r>
      <w:r>
        <w:t xml:space="preserve"> </w:t>
      </w:r>
      <w:r>
        <w:t xml:space="preserve">affiancare al colore un pattern di linea: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Indice serie</w:t>
            </w:r>
          </w:p>
        </w:tc>
        <w:tc>
          <w:tcPr/>
          <w:p>
            <w:pPr>
              <w:pStyle w:val="Compact"/>
            </w:pPr>
            <w:r>
              <w:t xml:space="preserve">Stile linea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0, 4, 8</w:t>
            </w:r>
          </w:p>
        </w:tc>
        <w:tc>
          <w:tcPr/>
          <w:p>
            <w:pPr>
              <w:pStyle w:val="Compact"/>
            </w:pPr>
            <w:r>
              <w:t xml:space="preserve">solid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1, 5, 9</w:t>
            </w:r>
          </w:p>
        </w:tc>
        <w:tc>
          <w:tcPr/>
          <w:p>
            <w:pPr>
              <w:pStyle w:val="Compact"/>
            </w:pPr>
            <w:r>
              <w:t xml:space="preserve">dash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2, 6, 10</w:t>
            </w:r>
          </w:p>
        </w:tc>
        <w:tc>
          <w:tcPr/>
          <w:p>
            <w:pPr>
              <w:pStyle w:val="Compact"/>
            </w:pPr>
            <w:r>
              <w:t xml:space="preserve">dot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3, 7, 11</w:t>
            </w:r>
          </w:p>
        </w:tc>
        <w:tc>
          <w:tcPr/>
          <w:p>
            <w:pPr>
              <w:pStyle w:val="Compact"/>
            </w:pPr>
            <w:r>
              <w:t xml:space="preserve">dashdot</w:t>
            </w:r>
          </w:p>
        </w:tc>
      </w:tr>
    </w:tbl>
    <w:p>
      <w:pPr>
        <w:pStyle w:val="BodyText"/>
      </w:pPr>
      <w:r>
        <w:t xml:space="preserve">Questa ridondanza garantisce distinguibilità anche per utenti con</w:t>
      </w:r>
      <w:r>
        <w:t xml:space="preserve"> </w:t>
      </w:r>
      <w:r>
        <w:t xml:space="preserve">dicromatismo grave e per stampe in scala di grigi.</w:t>
      </w:r>
    </w:p>
    <w:bookmarkEnd w:id="59"/>
    <w:bookmarkEnd w:id="60"/>
    <w:bookmarkStart w:id="65" w:name="interattività-e-drill-through"/>
    <w:p>
      <w:pPr>
        <w:pStyle w:val="Heading1"/>
      </w:pPr>
      <w:r>
        <w:t xml:space="preserve">8. Interattività e drill-through</w:t>
      </w:r>
    </w:p>
    <w:bookmarkStart w:id="61" w:name="sincronizzazione-slicer"/>
    <w:p>
      <w:pPr>
        <w:pStyle w:val="Heading2"/>
      </w:pPr>
      <w:r>
        <w:t xml:space="preserve">8.1 Sincronizzazione slicer</w:t>
      </w:r>
    </w:p>
    <w:p>
      <w:pPr>
        <w:pStyle w:val="FirstParagraph"/>
      </w:pPr>
      <w:r>
        <w:t xml:space="preserve">Attivare</w:t>
      </w:r>
      <w:r>
        <w:t xml:space="preserve"> </w:t>
      </w:r>
      <w:r>
        <w:rPr>
          <w:b/>
          <w:bCs/>
        </w:rPr>
        <w:t xml:space="preserve">Sync slicers</w:t>
      </w:r>
      <w:r>
        <w:t xml:space="preserve"> </w:t>
      </w:r>
      <w:r>
        <w:t xml:space="preserve">tra le sei pagine per gli slicer di unità e</w:t>
      </w:r>
      <w:r>
        <w:t xml:space="preserve"> </w:t>
      </w:r>
      <w:r>
        <w:t xml:space="preserve">anno (quando presente). Gli slicer di variabile restano indipendenti, in</w:t>
      </w:r>
      <w:r>
        <w:t xml:space="preserve"> </w:t>
      </w:r>
      <w:r>
        <w:t xml:space="preserve">quanto ciascuna pagina espone solo le variabili del proprio gruppo.</w:t>
      </w:r>
    </w:p>
    <w:bookmarkEnd w:id="61"/>
    <w:bookmarkStart w:id="62" w:name="tooltip-personalizzati"/>
    <w:p>
      <w:pPr>
        <w:pStyle w:val="Heading2"/>
      </w:pPr>
      <w:r>
        <w:t xml:space="preserve">8.2 Tooltip personalizzati</w:t>
      </w:r>
    </w:p>
    <w:p>
      <w:pPr>
        <w:pStyle w:val="FirstParagraph"/>
      </w:pPr>
      <w:r>
        <w:t xml:space="preserve">Creare una pagina nascosta</w:t>
      </w:r>
      <w:r>
        <w:t xml:space="preserve"> </w:t>
      </w:r>
      <w:r>
        <w:rPr>
          <w:rStyle w:val="VerbatimChar"/>
        </w:rPr>
        <w:t xml:space="preserve">Tooltip_provincia</w:t>
      </w:r>
      <w:r>
        <w:t xml:space="preserve"> </w:t>
      </w:r>
      <w:r>
        <w:t xml:space="preserve">con un mini line chart</w:t>
      </w:r>
      <w:r>
        <w:t xml:space="preserve"> </w:t>
      </w:r>
      <w:r>
        <w:t xml:space="preserve">(ultimi 10 anni) e due KPI (valore ultimo anno, variazione vs. 5 anni</w:t>
      </w:r>
      <w:r>
        <w:t xml:space="preserve"> </w:t>
      </w:r>
      <w:r>
        <w:t xml:space="preserve">prima). Collegarla alla mappa tramite la proprietà</w:t>
      </w:r>
      <w:r>
        <w:t xml:space="preserve"> </w:t>
      </w:r>
      <w:r>
        <w:rPr>
          <w:i/>
          <w:iCs/>
        </w:rPr>
        <w:t xml:space="preserve">Tooltip page</w:t>
      </w:r>
      <w:r>
        <w:t xml:space="preserve">.</w:t>
      </w:r>
    </w:p>
    <w:bookmarkEnd w:id="62"/>
    <w:bookmarkStart w:id="63" w:name="bookmark"/>
    <w:p>
      <w:pPr>
        <w:pStyle w:val="Heading2"/>
      </w:pPr>
      <w:r>
        <w:t xml:space="preserve">8.3 Bookmark</w:t>
      </w:r>
    </w:p>
    <w:p>
      <w:pPr>
        <w:pStyle w:val="FirstParagraph"/>
      </w:pPr>
      <w:r>
        <w:t xml:space="preserve">Configurare almeno due bookmark per pagina: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Vista regione</w:t>
      </w:r>
      <w:r>
        <w:t xml:space="preserve">: solo ITC4 visibile nel grafico; mappa in scala di</w:t>
      </w:r>
      <w:r>
        <w:t xml:space="preserve"> </w:t>
      </w:r>
      <w:r>
        <w:t xml:space="preserve">intensità piena.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Vista regione + province</w:t>
      </w:r>
      <w:r>
        <w:t xml:space="preserve">: tutte le serie visibili; legenda</w:t>
      </w:r>
      <w:r>
        <w:t xml:space="preserve"> </w:t>
      </w:r>
      <w:r>
        <w:t xml:space="preserve">completa.</w:t>
      </w:r>
    </w:p>
    <w:bookmarkEnd w:id="63"/>
    <w:bookmarkStart w:id="64" w:name="drill-through"/>
    <w:p>
      <w:pPr>
        <w:pStyle w:val="Heading2"/>
      </w:pPr>
      <w:r>
        <w:t xml:space="preserve">8.4 Drill-through</w:t>
      </w:r>
    </w:p>
    <w:p>
      <w:pPr>
        <w:pStyle w:val="FirstParagraph"/>
      </w:pPr>
      <w:r>
        <w:t xml:space="preserve">Pagina dedicata</w:t>
      </w:r>
      <w:r>
        <w:t xml:space="preserve"> </w:t>
      </w:r>
      <w:r>
        <w:rPr>
          <w:rStyle w:val="VerbatimChar"/>
        </w:rPr>
        <w:t xml:space="preserve">Dettaglio_provincia</w:t>
      </w:r>
      <w:r>
        <w:t xml:space="preserve"> </w:t>
      </w:r>
      <w:r>
        <w:t xml:space="preserve">raggiungibile via drill-through dal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NUTSCODE</w:t>
      </w:r>
      <w:r>
        <w:t xml:space="preserve"> </w:t>
      </w:r>
      <w:r>
        <w:t xml:space="preserve">di qualunque visual. La pagina mostra tutte le</w:t>
      </w:r>
      <w:r>
        <w:t xml:space="preserve"> </w:t>
      </w:r>
      <w:r>
        <w:t xml:space="preserve">variabili del gruppo corrente per la provincia selezionata.</w:t>
      </w:r>
    </w:p>
    <w:bookmarkEnd w:id="64"/>
    <w:bookmarkEnd w:id="65"/>
    <w:bookmarkStart w:id="71" w:name="aggiornamento-dati"/>
    <w:p>
      <w:pPr>
        <w:pStyle w:val="Heading1"/>
      </w:pPr>
      <w:r>
        <w:t xml:space="preserve">9. Aggiornamento dati</w:t>
      </w:r>
    </w:p>
    <w:bookmarkStart w:id="66" w:name="sorgente-di-verità"/>
    <w:p>
      <w:pPr>
        <w:pStyle w:val="Heading2"/>
      </w:pPr>
      <w:r>
        <w:t xml:space="preserve">9.1 Sorgente di verità</w:t>
      </w:r>
    </w:p>
    <w:p>
      <w:pPr>
        <w:pStyle w:val="FirstParagraph"/>
      </w:pPr>
      <w:r>
        <w:t xml:space="preserve">Lo schema</w:t>
      </w:r>
      <w:r>
        <w:t xml:space="preserve"> </w:t>
      </w:r>
      <w:r>
        <w:rPr>
          <w:rStyle w:val="VerbatimChar"/>
        </w:rPr>
        <w:t xml:space="preserve">ardeco</w:t>
      </w:r>
      <w:r>
        <w:t xml:space="preserve"> </w:t>
      </w:r>
      <w:r>
        <w:t xml:space="preserve">su PostgreSQL è alimentato dal container Docker</w:t>
      </w:r>
      <w:r>
        <w:t xml:space="preserve"> </w:t>
      </w:r>
      <w:r>
        <w:t xml:space="preserve">(pipeline: ARDECO CRAN → DuckDB → PostgreSQL). Lo sviluppatore Power BI</w:t>
      </w:r>
      <w:r>
        <w:t xml:space="preserve"> </w:t>
      </w:r>
      <w:r>
        <w:rPr>
          <w:b/>
          <w:bCs/>
        </w:rPr>
        <w:t xml:space="preserve">non interviene sulla pipeline</w:t>
      </w:r>
      <w:r>
        <w:t xml:space="preserve">; si limita a consumare le tabelle.</w:t>
      </w:r>
    </w:p>
    <w:bookmarkEnd w:id="66"/>
    <w:bookmarkStart w:id="67" w:name="scheduled-refresh"/>
    <w:p>
      <w:pPr>
        <w:pStyle w:val="Heading2"/>
      </w:pPr>
      <w:r>
        <w:t xml:space="preserve">9.2 Scheduled refresh</w:t>
      </w:r>
    </w:p>
    <w:p>
      <w:pPr>
        <w:pStyle w:val="FirstParagraph"/>
      </w:pPr>
      <w:r>
        <w:t xml:space="preserve">Configurare il refresh in</w:t>
      </w:r>
      <w:r>
        <w:t xml:space="preserve"> </w:t>
      </w:r>
      <w:r>
        <w:rPr>
          <w:b/>
          <w:bCs/>
        </w:rPr>
        <w:t xml:space="preserve">Power BI Service</w:t>
      </w:r>
      <w:r>
        <w:t xml:space="preserve"> </w:t>
      </w:r>
      <w:r>
        <w:t xml:space="preserve">con cadenza allineata al</w:t>
      </w:r>
      <w:r>
        <w:t xml:space="preserve"> </w:t>
      </w:r>
      <w:r>
        <w:t xml:space="preserve">calendario JRC: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Marzo</w:t>
      </w:r>
      <w:r>
        <w:t xml:space="preserve"> </w:t>
      </w:r>
      <w:r>
        <w:t xml:space="preserve">(rilascio primaverile)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Maggio</w:t>
      </w:r>
      <w:r>
        <w:t xml:space="preserve"> </w:t>
      </w:r>
      <w:r>
        <w:t xml:space="preserve">(rilascio estivo)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Novembre</w:t>
      </w:r>
      <w:r>
        <w:t xml:space="preserve"> </w:t>
      </w:r>
      <w:r>
        <w:t xml:space="preserve">(rilascio autunnale)</w:t>
      </w:r>
    </w:p>
    <w:p>
      <w:pPr>
        <w:pStyle w:val="FirstParagraph"/>
      </w:pPr>
      <w:r>
        <w:t xml:space="preserve">È prudente programmare un refresh il secondo lunedì di ciascuno di</w:t>
      </w:r>
      <w:r>
        <w:t xml:space="preserve"> </w:t>
      </w:r>
      <w:r>
        <w:t xml:space="preserve">questi mesi, dopo la finestra tipica di aggiornamento del JRC.</w:t>
      </w:r>
    </w:p>
    <w:bookmarkEnd w:id="67"/>
    <w:bookmarkStart w:id="68" w:name="gateway"/>
    <w:p>
      <w:pPr>
        <w:pStyle w:val="Heading2"/>
      </w:pPr>
      <w:r>
        <w:t xml:space="preserve">9.3 Gateway</w:t>
      </w:r>
    </w:p>
    <w:p>
      <w:pPr>
        <w:pStyle w:val="FirstParagraph"/>
      </w:pPr>
      <w:r>
        <w:t xml:space="preserve">Necessario se l’istanza PostgreSQL è on-premises o in VNet privata. In</w:t>
      </w:r>
      <w:r>
        <w:t xml:space="preserve"> </w:t>
      </w:r>
      <w:r>
        <w:t xml:space="preserve">caso contrario (endpoint pubblico, SSL obbligatorio), Power BI Service si</w:t>
      </w:r>
      <w:r>
        <w:t xml:space="preserve"> </w:t>
      </w:r>
      <w:r>
        <w:t xml:space="preserve">connette direttamente.</w:t>
      </w:r>
    </w:p>
    <w:bookmarkEnd w:id="68"/>
    <w:bookmarkStart w:id="69" w:name="monitoraggio"/>
    <w:p>
      <w:pPr>
        <w:pStyle w:val="Heading2"/>
      </w:pPr>
      <w:r>
        <w:t xml:space="preserve">9.4 Monitoraggio</w:t>
      </w:r>
    </w:p>
    <w:p>
      <w:pPr>
        <w:pStyle w:val="FirstParagraph"/>
      </w:pPr>
      <w:r>
        <w:t xml:space="preserve">Creare una pagina diagnostica nascosta (accessibile all’amministratore)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21"/>
        </w:numPr>
      </w:pPr>
      <w:r>
        <w:t xml:space="preserve">Card</w:t>
      </w:r>
      <w:r>
        <w:t xml:space="preserve"> </w:t>
      </w:r>
      <w:r>
        <w:rPr>
          <w:rStyle w:val="VerbatimChar"/>
        </w:rPr>
        <w:t xml:space="preserve">Diagnostica_righe</w:t>
      </w:r>
      <w:r>
        <w:t xml:space="preserve"> </w:t>
      </w:r>
      <w:r>
        <w:t xml:space="preserve">(misura DAX definita in §5).</w:t>
      </w:r>
    </w:p>
    <w:p>
      <w:pPr>
        <w:pStyle w:val="Compact"/>
        <w:numPr>
          <w:ilvl w:val="0"/>
          <w:numId w:val="1021"/>
        </w:numPr>
      </w:pPr>
      <w:r>
        <w:t xml:space="preserve">Card</w:t>
      </w:r>
      <w:r>
        <w:t xml:space="preserve"> </w:t>
      </w:r>
      <w:r>
        <w:rPr>
          <w:rStyle w:val="VerbatimChar"/>
        </w:rPr>
        <w:t xml:space="preserve">Ultimo_anno</w:t>
      </w:r>
      <w:r>
        <w:t xml:space="preserve"> </w:t>
      </w:r>
      <w:r>
        <w:t xml:space="preserve">per ciascuna variabile principale, per rilevare</w:t>
      </w:r>
      <w:r>
        <w:t xml:space="preserve"> </w:t>
      </w:r>
      <w:r>
        <w:t xml:space="preserve">rilasci parziali.</w:t>
      </w:r>
    </w:p>
    <w:p>
      <w:pPr>
        <w:pStyle w:val="Compact"/>
        <w:numPr>
          <w:ilvl w:val="0"/>
          <w:numId w:val="1021"/>
        </w:numPr>
      </w:pPr>
      <w:r>
        <w:t xml:space="preserve">Data e ora dell’ultimo refresh (disponibile come metadata Power BI).</w:t>
      </w:r>
    </w:p>
    <w:bookmarkEnd w:id="69"/>
    <w:bookmarkStart w:id="70" w:name="versioning-nuts"/>
    <w:p>
      <w:pPr>
        <w:pStyle w:val="Heading2"/>
      </w:pPr>
      <w:r>
        <w:t xml:space="preserve">9.5 Versioning NUTS</w:t>
      </w:r>
    </w:p>
    <w:p>
      <w:pPr>
        <w:pStyle w:val="FirstParagraph"/>
      </w:pPr>
      <w:r>
        <w:t xml:space="preserve">La colonna</w:t>
      </w:r>
      <w:r>
        <w:t xml:space="preserve"> </w:t>
      </w:r>
      <w:r>
        <w:rPr>
          <w:rStyle w:val="VerbatimChar"/>
        </w:rPr>
        <w:t xml:space="preserve">VERSIONS</w:t>
      </w:r>
      <w:r>
        <w:t xml:space="preserve"> </w:t>
      </w:r>
      <w:r>
        <w:t xml:space="preserve">identifica l’anno di classificazione NUTS</w:t>
      </w:r>
      <w:r>
        <w:t xml:space="preserve"> </w:t>
      </w:r>
      <w:r>
        <w:t xml:space="preserve">(2016, 2021, 2024). Per default filtrare sulla versione più recente</w:t>
      </w:r>
      <w:r>
        <w:t xml:space="preserve"> </w:t>
      </w:r>
      <w:r>
        <w:t xml:space="preserve">disponibile:</w:t>
      </w:r>
    </w:p>
    <w:p>
      <w:pPr>
        <w:pStyle w:val="SourceCode"/>
      </w:pPr>
      <w:r>
        <w:rPr>
          <w:rStyle w:val="VerbatimChar"/>
        </w:rPr>
        <w:t xml:space="preserve">Versione_corrente = MAX('ardeco_data'[VERSIONS])</w:t>
      </w:r>
      <w:r>
        <w:br/>
      </w:r>
      <w:r>
        <w:br/>
      </w:r>
      <w:r>
        <w:rPr>
          <w:rStyle w:val="VerbatimChar"/>
        </w:rPr>
        <w:t xml:space="preserve">Valore_versione_corrente =</w:t>
      </w:r>
      <w:r>
        <w:br/>
      </w:r>
      <w:r>
        <w:rPr>
          <w:rStyle w:val="VerbatimChar"/>
        </w:rPr>
        <w:t xml:space="preserve">CALCULATE(</w:t>
      </w:r>
      <w:r>
        <w:br/>
      </w:r>
      <w:r>
        <w:rPr>
          <w:rStyle w:val="VerbatimChar"/>
        </w:rPr>
        <w:t xml:space="preserve">    [Valore_ultimo_anno],</w:t>
      </w:r>
      <w:r>
        <w:br/>
      </w:r>
      <w:r>
        <w:rPr>
          <w:rStyle w:val="VerbatimChar"/>
        </w:rPr>
        <w:t xml:space="preserve">    'ardeco_data'[VERSIONS] = [Versione_corrente]</w:t>
      </w:r>
      <w:r>
        <w:br/>
      </w:r>
      <w:r>
        <w:rPr>
          <w:rStyle w:val="VerbatimChar"/>
        </w:rPr>
        <w:t xml:space="preserve">)</w:t>
      </w:r>
    </w:p>
    <w:bookmarkEnd w:id="70"/>
    <w:bookmarkEnd w:id="71"/>
    <w:bookmarkStart w:id="72" w:name="checklist-di-validazione"/>
    <w:p>
      <w:pPr>
        <w:pStyle w:val="Heading1"/>
      </w:pPr>
      <w:r>
        <w:t xml:space="preserve">10. Checklist di validazione</w:t>
      </w:r>
    </w:p>
    <w:p>
      <w:pPr>
        <w:pStyle w:val="FirstParagraph"/>
      </w:pPr>
      <w:r>
        <w:t xml:space="preserve">Prima della consegna, verificare:</w:t>
      </w:r>
    </w:p>
    <w:p>
      <w:pPr>
        <w:pStyle w:val="Compact"/>
        <w:numPr>
          <w:ilvl w:val="0"/>
          <w:numId w:val="1022"/>
        </w:numPr>
      </w:pPr>
      <w:r>
        <w:t xml:space="preserve">Confronto numerico dei KPI regionali (ITC4, ultimo anno) tra la</w:t>
      </w:r>
      <w:r>
        <w:t xml:space="preserve"> </w:t>
      </w:r>
      <w:r>
        <w:t xml:space="preserve">dashboard R (</w:t>
      </w:r>
      <w:r>
        <w:rPr>
          <w:rStyle w:val="VerbatimChar"/>
        </w:rPr>
        <w:t xml:space="preserve">dashboard/index.Rmd</w:t>
      </w:r>
      <w:r>
        <w:t xml:space="preserve">) e la versione Power BI: tolleranza</w:t>
      </w:r>
      <w:r>
        <w:t xml:space="preserve"> </w:t>
      </w:r>
      <w:r>
        <w:t xml:space="preserve">zero. Un disallineamento indica un filtro di unità o anno errato.</w:t>
      </w:r>
    </w:p>
    <w:p>
      <w:pPr>
        <w:pStyle w:val="Compact"/>
        <w:numPr>
          <w:ilvl w:val="0"/>
          <w:numId w:val="1023"/>
        </w:numPr>
      </w:pPr>
      <w:r>
        <w:t xml:space="preserve">Coerenza delle etichette italiane: nessun codice grezzo (es.</w:t>
      </w:r>
      <w:r>
        <w:t xml:space="preserve"> </w:t>
      </w:r>
      <w:r>
        <w:rPr>
          <w:rStyle w:val="VerbatimChar"/>
        </w:rPr>
        <w:t xml:space="preserve">SUVGD</w:t>
      </w:r>
      <w:r>
        <w:t xml:space="preserve">,</w:t>
      </w:r>
      <w:r>
        <w:t xml:space="preserve"> </w:t>
      </w:r>
      <w:r>
        <w:rPr>
          <w:rStyle w:val="VerbatimChar"/>
        </w:rPr>
        <w:t xml:space="preserve">MIO_EUR2015</w:t>
      </w:r>
      <w:r>
        <w:t xml:space="preserve">,</w:t>
      </w:r>
      <w:r>
        <w:t xml:space="preserve"> </w:t>
      </w:r>
      <w:r>
        <w:rPr>
          <w:rStyle w:val="VerbatimChar"/>
        </w:rPr>
        <w:t xml:space="preserve">Y20-64</w:t>
      </w:r>
      <w:r>
        <w:t xml:space="preserve">) visibile in slicer, tooltip o legende.</w:t>
      </w:r>
    </w:p>
    <w:p>
      <w:pPr>
        <w:pStyle w:val="Compact"/>
        <w:numPr>
          <w:ilvl w:val="0"/>
          <w:numId w:val="1024"/>
        </w:numPr>
      </w:pPr>
      <w:r>
        <w:t xml:space="preserve">Accessibilità cromatica: test con simulatore CVD (Coblis, Sim Daltonism</w:t>
      </w:r>
      <w:r>
        <w:t xml:space="preserve"> </w:t>
      </w:r>
      <w:r>
        <w:t xml:space="preserve">o estensione browser) per deuteranopia, protanopia, tritanopia.</w:t>
      </w:r>
    </w:p>
    <w:p>
      <w:pPr>
        <w:pStyle w:val="Compact"/>
        <w:numPr>
          <w:ilvl w:val="0"/>
          <w:numId w:val="1025"/>
        </w:numPr>
      </w:pPr>
      <w:r>
        <w:t xml:space="preserve">Responsive su risoluzioni</w:t>
      </w:r>
      <w:r>
        <w:t xml:space="preserve"> </w:t>
      </w:r>
      <w:r>
        <w:rPr>
          <w:rStyle w:val="VerbatimChar"/>
        </w:rPr>
        <w:t xml:space="preserve">1920×1080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1366×768</w:t>
      </w:r>
      <w:r>
        <w:t xml:space="preserve"> </w:t>
      </w:r>
      <w:r>
        <w:t xml:space="preserve">— la card KPI non</w:t>
      </w:r>
      <w:r>
        <w:t xml:space="preserve"> </w:t>
      </w:r>
      <w:r>
        <w:t xml:space="preserve">deve troncare la cifra.</w:t>
      </w:r>
    </w:p>
    <w:p>
      <w:pPr>
        <w:pStyle w:val="Compact"/>
        <w:numPr>
          <w:ilvl w:val="0"/>
          <w:numId w:val="1026"/>
        </w:numPr>
      </w:pPr>
      <w:r>
        <w:t xml:space="preserve">Ogni value box mostra</w:t>
      </w:r>
      <w:r>
        <w:t xml:space="preserve"> </w:t>
      </w:r>
      <w:r>
        <w:rPr>
          <w:b/>
          <w:bCs/>
        </w:rPr>
        <w:t xml:space="preserve">anno di riferimento</w:t>
      </w:r>
      <w:r>
        <w:t xml:space="preserve"> </w:t>
      </w:r>
      <w:r>
        <w:t xml:space="preserve">nel titolo o</w:t>
      </w:r>
      <w:r>
        <w:t xml:space="preserve"> </w:t>
      </w:r>
      <w:r>
        <w:t xml:space="preserve">sottotitolo (requisito progetto).</w:t>
      </w:r>
    </w:p>
    <w:p>
      <w:pPr>
        <w:pStyle w:val="Compact"/>
        <w:numPr>
          <w:ilvl w:val="0"/>
          <w:numId w:val="1027"/>
        </w:numPr>
      </w:pPr>
      <w:r>
        <w:t xml:space="preserve">Aggiornamento schedulato validato su Power BI Service con log</w:t>
      </w:r>
      <w:r>
        <w:t xml:space="preserve"> </w:t>
      </w:r>
      <w:r>
        <w:t xml:space="preserve">refresh verde.</w:t>
      </w:r>
    </w:p>
    <w:bookmarkEnd w:id="72"/>
    <w:bookmarkStart w:id="83" w:name="appendici"/>
    <w:p>
      <w:pPr>
        <w:pStyle w:val="Heading1"/>
      </w:pPr>
      <w:r>
        <w:t xml:space="preserve">11. Appendici</w:t>
      </w:r>
    </w:p>
    <w:bookmarkStart w:id="79" w:name="X33e597561779f68a38576c480d26e9b4b56d191"/>
    <w:p>
      <w:pPr>
        <w:pStyle w:val="Heading2"/>
      </w:pPr>
      <w:r>
        <w:t xml:space="preserve">11.1 Appendice A — Elenco completo delle 57 variabili</w:t>
      </w:r>
    </w:p>
    <w:bookmarkStart w:id="73" w:name="a.1-popolazione-e-demografia-12"/>
    <w:p>
      <w:pPr>
        <w:pStyle w:val="Heading3"/>
      </w:pPr>
      <w:r>
        <w:t xml:space="preserve">11.1.1 A.1 Popolazione e demografia (12)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Etichetta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SNPTD</w:t>
            </w:r>
          </w:p>
        </w:tc>
        <w:tc>
          <w:tcPr/>
          <w:p>
            <w:pPr>
              <w:pStyle w:val="Compact"/>
            </w:pPr>
            <w:r>
              <w:t xml:space="preserve">Popolazione media annua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SNPTN</w:t>
            </w:r>
          </w:p>
        </w:tc>
        <w:tc>
          <w:tcPr/>
          <w:p>
            <w:pPr>
              <w:pStyle w:val="Compact"/>
            </w:pPr>
            <w:r>
              <w:t xml:space="preserve">Popolazione al 1° gennaio per fascia d’età e sesso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SNPTZ</w:t>
            </w:r>
          </w:p>
        </w:tc>
        <w:tc>
          <w:tcPr/>
          <w:p>
            <w:pPr>
              <w:pStyle w:val="Compact"/>
            </w:pPr>
            <w:r>
              <w:t xml:space="preserve">Popolazione al 1° gennaio per classi quinquennali e sesso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SNPBN</w:t>
            </w:r>
          </w:p>
        </w:tc>
        <w:tc>
          <w:tcPr/>
          <w:p>
            <w:pPr>
              <w:pStyle w:val="Compact"/>
            </w:pPr>
            <w:r>
              <w:t xml:space="preserve">Nati vivi per sesso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SNPDN</w:t>
            </w:r>
          </w:p>
        </w:tc>
        <w:tc>
          <w:tcPr/>
          <w:p>
            <w:pPr>
              <w:pStyle w:val="Compact"/>
            </w:pPr>
            <w:r>
              <w:t xml:space="preserve">Decessi per fascia d’età e sesso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SNPDZ</w:t>
            </w:r>
          </w:p>
        </w:tc>
        <w:tc>
          <w:tcPr/>
          <w:p>
            <w:pPr>
              <w:pStyle w:val="Compact"/>
            </w:pPr>
            <w:r>
              <w:t xml:space="preserve">Decessi per classi quinquennali e sesso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SNPNN</w:t>
            </w:r>
          </w:p>
        </w:tc>
        <w:tc>
          <w:tcPr/>
          <w:p>
            <w:pPr>
              <w:pStyle w:val="Compact"/>
            </w:pPr>
            <w:r>
              <w:t xml:space="preserve">Variazione naturale della popolazione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SNMTN</w:t>
            </w:r>
          </w:p>
        </w:tc>
        <w:tc>
          <w:tcPr/>
          <w:p>
            <w:pPr>
              <w:pStyle w:val="Compact"/>
            </w:pPr>
            <w:r>
              <w:t xml:space="preserve">Migrazione netta per fascia d’età e sesso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SNPCN</w:t>
            </w:r>
          </w:p>
        </w:tc>
        <w:tc>
          <w:tcPr/>
          <w:p>
            <w:pPr>
              <w:pStyle w:val="Compact"/>
            </w:pPr>
            <w:r>
              <w:t xml:space="preserve">Variazione della popolazione per fascia d’età e sesso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SNPCNP</w:t>
            </w:r>
          </w:p>
        </w:tc>
        <w:tc>
          <w:tcPr/>
          <w:p>
            <w:pPr>
              <w:pStyle w:val="Compact"/>
            </w:pPr>
            <w:r>
              <w:t xml:space="preserve">Variazione della popolazione per 1000 abitanti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SNMTNP</w:t>
            </w:r>
          </w:p>
        </w:tc>
        <w:tc>
          <w:tcPr/>
          <w:p>
            <w:pPr>
              <w:pStyle w:val="Compact"/>
            </w:pPr>
            <w:r>
              <w:t xml:space="preserve">Migrazione netta per 1000 abitanti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SPPAN</w:t>
            </w:r>
          </w:p>
        </w:tc>
        <w:tc>
          <w:tcPr/>
          <w:p>
            <w:pPr>
              <w:pStyle w:val="Compact"/>
            </w:pPr>
            <w:r>
              <w:t xml:space="preserve">Indice di dipendenza (rapporto alla popolazione 20-64)</w:t>
            </w:r>
          </w:p>
        </w:tc>
      </w:tr>
    </w:tbl>
    <w:bookmarkEnd w:id="73"/>
    <w:bookmarkStart w:id="74" w:name="a.2-mercato-del-lavoro-11"/>
    <w:p>
      <w:pPr>
        <w:pStyle w:val="Heading3"/>
      </w:pPr>
      <w:r>
        <w:t xml:space="preserve">11.1.2 A.2 Mercato del lavoro (11)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Etichetta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RPECNP</w:t>
            </w:r>
          </w:p>
        </w:tc>
        <w:tc>
          <w:tcPr/>
          <w:p>
            <w:pPr>
              <w:pStyle w:val="Compact"/>
            </w:pPr>
            <w:r>
              <w:t xml:space="preserve">Tasso di occupazione (20-64 anni)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RPUCNP</w:t>
            </w:r>
          </w:p>
        </w:tc>
        <w:tc>
          <w:tcPr/>
          <w:p>
            <w:pPr>
              <w:pStyle w:val="Compact"/>
            </w:pPr>
            <w:r>
              <w:t xml:space="preserve">Tasso di disoccupazione (15-74 anni)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SNETD</w:t>
            </w:r>
          </w:p>
        </w:tc>
        <w:tc>
          <w:tcPr/>
          <w:p>
            <w:pPr>
              <w:pStyle w:val="Compact"/>
            </w:pPr>
            <w:r>
              <w:t xml:space="preserve">Occupazione workplace-based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SNETDP</w:t>
            </w:r>
          </w:p>
        </w:tc>
        <w:tc>
          <w:tcPr/>
          <w:p>
            <w:pPr>
              <w:pStyle w:val="Compact"/>
            </w:pPr>
            <w:r>
              <w:t xml:space="preserve">Occupazione pro capite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SNWTD</w:t>
            </w:r>
          </w:p>
        </w:tc>
        <w:tc>
          <w:tcPr/>
          <w:p>
            <w:pPr>
              <w:pStyle w:val="Compact"/>
            </w:pPr>
            <w:r>
              <w:t xml:space="preserve">Dipendenti workplace-based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RNECN</w:t>
            </w:r>
          </w:p>
        </w:tc>
        <w:tc>
          <w:tcPr/>
          <w:p>
            <w:pPr>
              <w:pStyle w:val="Compact"/>
            </w:pPr>
            <w:r>
              <w:t xml:space="preserve">Occupati per età e sesso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RNUTN</w:t>
            </w:r>
          </w:p>
        </w:tc>
        <w:tc>
          <w:tcPr/>
          <w:p>
            <w:pPr>
              <w:pStyle w:val="Compact"/>
            </w:pPr>
            <w:r>
              <w:t xml:space="preserve">Disoccupati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RNLCN</w:t>
            </w:r>
          </w:p>
        </w:tc>
        <w:tc>
          <w:tcPr/>
          <w:p>
            <w:pPr>
              <w:pStyle w:val="Compact"/>
            </w:pPr>
            <w:r>
              <w:t xml:space="preserve">Forza lavoro (15 anni e oltre)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RNLHT</w:t>
            </w:r>
          </w:p>
        </w:tc>
        <w:tc>
          <w:tcPr/>
          <w:p>
            <w:pPr>
              <w:pStyle w:val="Compact"/>
            </w:pPr>
            <w:r>
              <w:t xml:space="preserve">Ore lavorate (occupati)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RNLHTP</w:t>
            </w:r>
          </w:p>
        </w:tc>
        <w:tc>
          <w:tcPr/>
          <w:p>
            <w:pPr>
              <w:pStyle w:val="Compact"/>
            </w:pPr>
            <w:r>
              <w:t xml:space="preserve">Ore lavorate pro capite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RNLHW</w:t>
            </w:r>
          </w:p>
        </w:tc>
        <w:tc>
          <w:tcPr/>
          <w:p>
            <w:pPr>
              <w:pStyle w:val="Compact"/>
            </w:pPr>
            <w:r>
              <w:t xml:space="preserve">Ore lavorate (dipendenti)</w:t>
            </w:r>
          </w:p>
        </w:tc>
      </w:tr>
    </w:tbl>
    <w:bookmarkEnd w:id="74"/>
    <w:bookmarkStart w:id="75" w:name="a.3-occupazione-per-settore-2"/>
    <w:p>
      <w:pPr>
        <w:pStyle w:val="Heading3"/>
      </w:pPr>
      <w:r>
        <w:t xml:space="preserve">11.1.3 A.3 Occupazione per settore (2)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Etichetta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SNETZ</w:t>
            </w:r>
          </w:p>
        </w:tc>
        <w:tc>
          <w:tcPr/>
          <w:p>
            <w:pPr>
              <w:pStyle w:val="Compact"/>
            </w:pPr>
            <w:r>
              <w:t xml:space="preserve">Occupazione per settore NACE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RNLHZ</w:t>
            </w:r>
          </w:p>
        </w:tc>
        <w:tc>
          <w:tcPr/>
          <w:p>
            <w:pPr>
              <w:pStyle w:val="Compact"/>
            </w:pPr>
            <w:r>
              <w:t xml:space="preserve">Ore lavorate per settore NACE</w:t>
            </w:r>
          </w:p>
        </w:tc>
      </w:tr>
    </w:tbl>
    <w:bookmarkEnd w:id="75"/>
    <w:bookmarkStart w:id="76" w:name="a.4-pil-e-valore-aggiunto-14"/>
    <w:p>
      <w:pPr>
        <w:pStyle w:val="Heading3"/>
      </w:pPr>
      <w:r>
        <w:t xml:space="preserve">11.1.4 A.4 PIL e valore aggiunto (14)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Etichetta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SUVGD</w:t>
            </w:r>
          </w:p>
        </w:tc>
        <w:tc>
          <w:tcPr/>
          <w:p>
            <w:pPr>
              <w:pStyle w:val="Compact"/>
            </w:pPr>
            <w:r>
              <w:t xml:space="preserve">PIL a prezzi correnti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SOVGD</w:t>
            </w:r>
          </w:p>
        </w:tc>
        <w:tc>
          <w:tcPr/>
          <w:p>
            <w:pPr>
              <w:pStyle w:val="Compact"/>
            </w:pPr>
            <w:r>
              <w:t xml:space="preserve">PIL a prezzi costanti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SUVGE</w:t>
            </w:r>
          </w:p>
        </w:tc>
        <w:tc>
          <w:tcPr/>
          <w:p>
            <w:pPr>
              <w:pStyle w:val="Compact"/>
            </w:pPr>
            <w:r>
              <w:t xml:space="preserve">Valore aggiunto a prezzi correnti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SOVGE</w:t>
            </w:r>
          </w:p>
        </w:tc>
        <w:tc>
          <w:tcPr/>
          <w:p>
            <w:pPr>
              <w:pStyle w:val="Compact"/>
            </w:pPr>
            <w:r>
              <w:t xml:space="preserve">Valore aggiunto a prezzi costanti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SUVGZ</w:t>
            </w:r>
          </w:p>
        </w:tc>
        <w:tc>
          <w:tcPr/>
          <w:p>
            <w:pPr>
              <w:pStyle w:val="Compact"/>
            </w:pPr>
            <w:r>
              <w:t xml:space="preserve">Valore aggiunto per settore a prezzi correnti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SOVGZ</w:t>
            </w:r>
          </w:p>
        </w:tc>
        <w:tc>
          <w:tcPr/>
          <w:p>
            <w:pPr>
              <w:pStyle w:val="Compact"/>
            </w:pPr>
            <w:r>
              <w:t xml:space="preserve">Valore aggiunto per settore a prezzi costanti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SUVGDH</w:t>
            </w:r>
          </w:p>
        </w:tc>
        <w:tc>
          <w:tcPr/>
          <w:p>
            <w:pPr>
              <w:pStyle w:val="Compact"/>
            </w:pPr>
            <w:r>
              <w:t xml:space="preserve">Produttività nominale per ora lavorata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SUVGDE</w:t>
            </w:r>
          </w:p>
        </w:tc>
        <w:tc>
          <w:tcPr/>
          <w:p>
            <w:pPr>
              <w:pStyle w:val="Compact"/>
            </w:pPr>
            <w:r>
              <w:t xml:space="preserve">Produttività nominale per occupato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SOVGDH</w:t>
            </w:r>
          </w:p>
        </w:tc>
        <w:tc>
          <w:tcPr/>
          <w:p>
            <w:pPr>
              <w:pStyle w:val="Compact"/>
            </w:pPr>
            <w:r>
              <w:t xml:space="preserve">Produttività reale per ora lavorata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SOVGDE</w:t>
            </w:r>
          </w:p>
        </w:tc>
        <w:tc>
          <w:tcPr/>
          <w:p>
            <w:pPr>
              <w:pStyle w:val="Compact"/>
            </w:pPr>
            <w:r>
              <w:t xml:space="preserve">Produttività reale per occupato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SUVGDP</w:t>
            </w:r>
          </w:p>
        </w:tc>
        <w:tc>
          <w:tcPr/>
          <w:p>
            <w:pPr>
              <w:pStyle w:val="Compact"/>
            </w:pPr>
            <w:r>
              <w:t xml:space="preserve">PIL pro capite a prezzi correnti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SOVGDP</w:t>
            </w:r>
          </w:p>
        </w:tc>
        <w:tc>
          <w:tcPr/>
          <w:p>
            <w:pPr>
              <w:pStyle w:val="Compact"/>
            </w:pPr>
            <w:r>
              <w:t xml:space="preserve">PIL pro capite a prezzi costanti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SPVGD</w:t>
            </w:r>
          </w:p>
        </w:tc>
        <w:tc>
          <w:tcPr/>
          <w:p>
            <w:pPr>
              <w:pStyle w:val="Compact"/>
            </w:pPr>
            <w:r>
              <w:t xml:space="preserve">Tasso di crescita del PIL (indice concatenato)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SPVGE</w:t>
            </w:r>
          </w:p>
        </w:tc>
        <w:tc>
          <w:tcPr/>
          <w:p>
            <w:pPr>
              <w:pStyle w:val="Compact"/>
            </w:pPr>
            <w:r>
              <w:t xml:space="preserve">Tasso di crescita del VA (indice concatenato)</w:t>
            </w:r>
          </w:p>
        </w:tc>
      </w:tr>
    </w:tbl>
    <w:bookmarkEnd w:id="76"/>
    <w:bookmarkStart w:id="77" w:name="a.5-reddito-e-compensi-9"/>
    <w:p>
      <w:pPr>
        <w:pStyle w:val="Heading3"/>
      </w:pPr>
      <w:r>
        <w:t xml:space="preserve">11.1.5 A.5 Reddito e compensi (9)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Etichetta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RUWCD</w:t>
            </w:r>
          </w:p>
        </w:tc>
        <w:tc>
          <w:tcPr/>
          <w:p>
            <w:pPr>
              <w:pStyle w:val="Compact"/>
            </w:pPr>
            <w:r>
              <w:t xml:space="preserve">Compensi dei dipendenti a prezzi correnti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ROWCD</w:t>
            </w:r>
          </w:p>
        </w:tc>
        <w:tc>
          <w:tcPr/>
          <w:p>
            <w:pPr>
              <w:pStyle w:val="Compact"/>
            </w:pPr>
            <w:r>
              <w:t xml:space="preserve">Compensi dei dipendenti a prezzi costanti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ROWCDH</w:t>
            </w:r>
          </w:p>
        </w:tc>
        <w:tc>
          <w:tcPr/>
          <w:p>
            <w:pPr>
              <w:pStyle w:val="Compact"/>
            </w:pPr>
            <w:r>
              <w:t xml:space="preserve">Compenso reale per ora lavorata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RUWCDW</w:t>
            </w:r>
          </w:p>
        </w:tc>
        <w:tc>
          <w:tcPr/>
          <w:p>
            <w:pPr>
              <w:pStyle w:val="Compact"/>
            </w:pPr>
            <w:r>
              <w:t xml:space="preserve">Compenso nominale per dipendente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ROWCDW</w:t>
            </w:r>
          </w:p>
        </w:tc>
        <w:tc>
          <w:tcPr/>
          <w:p>
            <w:pPr>
              <w:pStyle w:val="Compact"/>
            </w:pPr>
            <w:r>
              <w:t xml:space="preserve">Compenso reale per dipendente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RUWCDHH</w:t>
            </w:r>
          </w:p>
        </w:tc>
        <w:tc>
          <w:tcPr/>
          <w:p>
            <w:pPr>
              <w:pStyle w:val="Compact"/>
            </w:pPr>
            <w:r>
              <w:t xml:space="preserve">Costo del lavoro per unità di prodotto nominale (ore)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RUWCDWE</w:t>
            </w:r>
          </w:p>
        </w:tc>
        <w:tc>
          <w:tcPr/>
          <w:p>
            <w:pPr>
              <w:pStyle w:val="Compact"/>
            </w:pPr>
            <w:r>
              <w:t xml:space="preserve">Costo del lavoro per unità di prodotto nominale (persone)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RUWCZ</w:t>
            </w:r>
          </w:p>
        </w:tc>
        <w:tc>
          <w:tcPr/>
          <w:p>
            <w:pPr>
              <w:pStyle w:val="Compact"/>
            </w:pPr>
            <w:r>
              <w:t xml:space="preserve">Compensi per settore a prezzi correnti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ROWCZ</w:t>
            </w:r>
          </w:p>
        </w:tc>
        <w:tc>
          <w:tcPr/>
          <w:p>
            <w:pPr>
              <w:pStyle w:val="Compact"/>
            </w:pPr>
            <w:r>
              <w:t xml:space="preserve">Compensi per settore a prezzi costanti</w:t>
            </w:r>
          </w:p>
        </w:tc>
      </w:tr>
    </w:tbl>
    <w:bookmarkEnd w:id="77"/>
    <w:bookmarkStart w:id="78" w:name="a.6-formazione-del-capitale-9"/>
    <w:p>
      <w:pPr>
        <w:pStyle w:val="Heading3"/>
      </w:pPr>
      <w:r>
        <w:t xml:space="preserve">11.1.6 A.6 Formazione del capitale (9)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Etichetta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RUIGT</w:t>
            </w:r>
          </w:p>
        </w:tc>
        <w:tc>
          <w:tcPr/>
          <w:p>
            <w:pPr>
              <w:pStyle w:val="Compact"/>
            </w:pPr>
            <w:r>
              <w:t xml:space="preserve">Investimenti fissi lordi a prezzi correnti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ROIGT</w:t>
            </w:r>
          </w:p>
        </w:tc>
        <w:tc>
          <w:tcPr/>
          <w:p>
            <w:pPr>
              <w:pStyle w:val="Compact"/>
            </w:pPr>
            <w:r>
              <w:t xml:space="preserve">Investimenti fissi lordi a prezzi costanti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RUIGZ</w:t>
            </w:r>
          </w:p>
        </w:tc>
        <w:tc>
          <w:tcPr/>
          <w:p>
            <w:pPr>
              <w:pStyle w:val="Compact"/>
            </w:pPr>
            <w:r>
              <w:t xml:space="preserve">Investimenti fissi lordi per settore a prezzi correnti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ROIGZ</w:t>
            </w:r>
          </w:p>
        </w:tc>
        <w:tc>
          <w:tcPr/>
          <w:p>
            <w:pPr>
              <w:pStyle w:val="Compact"/>
            </w:pPr>
            <w:r>
              <w:t xml:space="preserve">Investimenti fissi lordi per settore a prezzi costanti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ROKND</w:t>
            </w:r>
          </w:p>
        </w:tc>
        <w:tc>
          <w:tcPr/>
          <w:p>
            <w:pPr>
              <w:pStyle w:val="Compact"/>
            </w:pPr>
            <w:r>
              <w:t xml:space="preserve">Stock di capitale a prezzi costanti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SUKCT</w:t>
            </w:r>
          </w:p>
        </w:tc>
        <w:tc>
          <w:tcPr/>
          <w:p>
            <w:pPr>
              <w:pStyle w:val="Compact"/>
            </w:pPr>
            <w:r>
              <w:t xml:space="preserve">Ammortamenti a prezzi correnti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SOKCT</w:t>
            </w:r>
          </w:p>
        </w:tc>
        <w:tc>
          <w:tcPr/>
          <w:p>
            <w:pPr>
              <w:pStyle w:val="Compact"/>
            </w:pPr>
            <w:r>
              <w:t xml:space="preserve">Ammortamenti a prezzi costanti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SUKCZ</w:t>
            </w:r>
          </w:p>
        </w:tc>
        <w:tc>
          <w:tcPr/>
          <w:p>
            <w:pPr>
              <w:pStyle w:val="Compact"/>
            </w:pPr>
            <w:r>
              <w:t xml:space="preserve">Ammortamenti per settore a prezzi correnti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SOKCZ</w:t>
            </w:r>
          </w:p>
        </w:tc>
        <w:tc>
          <w:tcPr/>
          <w:p>
            <w:pPr>
              <w:pStyle w:val="Compact"/>
            </w:pPr>
            <w:r>
              <w:t xml:space="preserve">Ammortamenti per settore a prezzi costanti</w:t>
            </w:r>
          </w:p>
        </w:tc>
      </w:tr>
    </w:tbl>
    <w:bookmarkEnd w:id="78"/>
    <w:bookmarkEnd w:id="79"/>
    <w:bookmarkStart w:id="80" w:name="Xbb3e965df70fe848a7798d1d7bc9b540122909f"/>
    <w:p>
      <w:pPr>
        <w:pStyle w:val="Heading2"/>
      </w:pPr>
      <w:r>
        <w:t xml:space="preserve">11.2 Appendice B — Codici NUTS-3 e nomi delle province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 NUTS</w:t>
            </w:r>
          </w:p>
        </w:tc>
        <w:tc>
          <w:tcPr/>
          <w:p>
            <w:pPr>
              <w:pStyle w:val="Compact"/>
            </w:pPr>
            <w:r>
              <w:t xml:space="preserve">Provincia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</w:t>
            </w:r>
          </w:p>
        </w:tc>
        <w:tc>
          <w:tcPr/>
          <w:p>
            <w:pPr>
              <w:pStyle w:val="Compact"/>
            </w:pPr>
            <w:r>
              <w:t xml:space="preserve">Lombardia (regione, NUTS-2)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ITC41</w:t>
            </w:r>
          </w:p>
        </w:tc>
        <w:tc>
          <w:tcPr/>
          <w:p>
            <w:pPr>
              <w:pStyle w:val="Compact"/>
            </w:pPr>
            <w:r>
              <w:t xml:space="preserve">Varese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ITC42</w:t>
            </w:r>
          </w:p>
        </w:tc>
        <w:tc>
          <w:tcPr/>
          <w:p>
            <w:pPr>
              <w:pStyle w:val="Compact"/>
            </w:pPr>
            <w:r>
              <w:t xml:space="preserve">Como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ITC43</w:t>
            </w:r>
          </w:p>
        </w:tc>
        <w:tc>
          <w:tcPr/>
          <w:p>
            <w:pPr>
              <w:pStyle w:val="Compact"/>
            </w:pPr>
            <w:r>
              <w:t xml:space="preserve">Lecco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ITC44</w:t>
            </w:r>
          </w:p>
        </w:tc>
        <w:tc>
          <w:tcPr/>
          <w:p>
            <w:pPr>
              <w:pStyle w:val="Compact"/>
            </w:pPr>
            <w:r>
              <w:t xml:space="preserve">Sondrio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ITC46</w:t>
            </w:r>
          </w:p>
        </w:tc>
        <w:tc>
          <w:tcPr/>
          <w:p>
            <w:pPr>
              <w:pStyle w:val="Compact"/>
            </w:pPr>
            <w:r>
              <w:t xml:space="preserve">Bergamo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ITC47</w:t>
            </w:r>
          </w:p>
        </w:tc>
        <w:tc>
          <w:tcPr/>
          <w:p>
            <w:pPr>
              <w:pStyle w:val="Compact"/>
            </w:pPr>
            <w:r>
              <w:t xml:space="preserve">Brescia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ITC48</w:t>
            </w:r>
          </w:p>
        </w:tc>
        <w:tc>
          <w:tcPr/>
          <w:p>
            <w:pPr>
              <w:pStyle w:val="Compact"/>
            </w:pPr>
            <w:r>
              <w:t xml:space="preserve">Pavia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ITC49</w:t>
            </w:r>
          </w:p>
        </w:tc>
        <w:tc>
          <w:tcPr/>
          <w:p>
            <w:pPr>
              <w:pStyle w:val="Compact"/>
            </w:pPr>
            <w:r>
              <w:t xml:space="preserve">Lodi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ITC4A</w:t>
            </w:r>
          </w:p>
        </w:tc>
        <w:tc>
          <w:tcPr/>
          <w:p>
            <w:pPr>
              <w:pStyle w:val="Compact"/>
            </w:pPr>
            <w:r>
              <w:t xml:space="preserve">Cremona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ITC4B</w:t>
            </w:r>
          </w:p>
        </w:tc>
        <w:tc>
          <w:tcPr/>
          <w:p>
            <w:pPr>
              <w:pStyle w:val="Compact"/>
            </w:pPr>
            <w:r>
              <w:t xml:space="preserve">Mantova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ITC4C</w:t>
            </w:r>
          </w:p>
        </w:tc>
        <w:tc>
          <w:tcPr/>
          <w:p>
            <w:pPr>
              <w:pStyle w:val="Compact"/>
            </w:pPr>
            <w:r>
              <w:t xml:space="preserve">Milano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ITC4D</w:t>
            </w:r>
          </w:p>
        </w:tc>
        <w:tc>
          <w:tcPr/>
          <w:p>
            <w:pPr>
              <w:pStyle w:val="Compact"/>
            </w:pPr>
            <w:r>
              <w:t xml:space="preserve">Monza e della Brianza</w:t>
            </w:r>
          </w:p>
        </w:tc>
      </w:tr>
    </w:tbl>
    <w:p>
      <w:pPr>
        <w:pStyle w:val="BodyText"/>
      </w:pPr>
      <w:r>
        <w:t xml:space="preserve">Nota: il codice</w:t>
      </w:r>
      <w:r>
        <w:t xml:space="preserve"> </w:t>
      </w:r>
      <w:r>
        <w:rPr>
          <w:rStyle w:val="VerbatimChar"/>
        </w:rPr>
        <w:t xml:space="preserve">ITC45</w:t>
      </w:r>
      <w:r>
        <w:t xml:space="preserve"> </w:t>
      </w:r>
      <w:r>
        <w:t xml:space="preserve">non è presente nella classificazione NUTS</w:t>
      </w:r>
      <w:r>
        <w:t xml:space="preserve"> </w:t>
      </w:r>
      <w:r>
        <w:t xml:space="preserve">attuale (revisione 2021).</w:t>
      </w:r>
    </w:p>
    <w:bookmarkEnd w:id="80"/>
    <w:bookmarkStart w:id="81" w:name="X0df0818dea029e8f3556a5f2e950b8103ff306f"/>
    <w:p>
      <w:pPr>
        <w:pStyle w:val="Heading2"/>
      </w:pPr>
      <w:r>
        <w:t xml:space="preserve">11.3 Appendice C — Glossario delle unità di misura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Codice</w:t>
            </w:r>
          </w:p>
        </w:tc>
        <w:tc>
          <w:tcPr/>
          <w:p>
            <w:pPr>
              <w:pStyle w:val="Compact"/>
            </w:pPr>
            <w:r>
              <w:t xml:space="preserve">Etichetta italiana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Euro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EUR2015</w:t>
            </w:r>
          </w:p>
        </w:tc>
        <w:tc>
          <w:tcPr/>
          <w:p>
            <w:pPr>
              <w:pStyle w:val="Compact"/>
            </w:pPr>
            <w:r>
              <w:t xml:space="preserve">Euro (prezzi 2015)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EUR2020</w:t>
            </w:r>
          </w:p>
        </w:tc>
        <w:tc>
          <w:tcPr/>
          <w:p>
            <w:pPr>
              <w:pStyle w:val="Compact"/>
            </w:pPr>
            <w:r>
              <w:t xml:space="preserve">Euro (prezzi 2020)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EUR_HAB</w:t>
            </w:r>
          </w:p>
        </w:tc>
        <w:tc>
          <w:tcPr/>
          <w:p>
            <w:pPr>
              <w:pStyle w:val="Compact"/>
            </w:pPr>
            <w:r>
              <w:t xml:space="preserve">Euro per abitante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EUR_HAB2015</w:t>
            </w:r>
          </w:p>
        </w:tc>
        <w:tc>
          <w:tcPr/>
          <w:p>
            <w:pPr>
              <w:pStyle w:val="Compact"/>
            </w:pPr>
            <w:r>
              <w:t xml:space="preserve">Euro per abitante (prezzi 2015)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GROWRT</w:t>
            </w:r>
          </w:p>
        </w:tc>
        <w:tc>
          <w:tcPr/>
          <w:p>
            <w:pPr>
              <w:pStyle w:val="Compact"/>
            </w:pPr>
            <w:r>
              <w:t xml:space="preserve">Tasso di crescita (‰)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I15</w:t>
            </w:r>
          </w:p>
        </w:tc>
        <w:tc>
          <w:tcPr/>
          <w:p>
            <w:pPr>
              <w:pStyle w:val="Compact"/>
            </w:pPr>
            <w:r>
              <w:t xml:space="preserve">Indice concatenato (base 2015)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I20</w:t>
            </w:r>
          </w:p>
        </w:tc>
        <w:tc>
          <w:tcPr/>
          <w:p>
            <w:pPr>
              <w:pStyle w:val="Compact"/>
            </w:pPr>
            <w:r>
              <w:t xml:space="preserve">Indice concatenato (base 2020)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MIO_EUR</w:t>
            </w:r>
          </w:p>
        </w:tc>
        <w:tc>
          <w:tcPr/>
          <w:p>
            <w:pPr>
              <w:pStyle w:val="Compact"/>
            </w:pPr>
            <w:r>
              <w:t xml:space="preserve">Milioni di euro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MIO_EUR2015</w:t>
            </w:r>
          </w:p>
        </w:tc>
        <w:tc>
          <w:tcPr/>
          <w:p>
            <w:pPr>
              <w:pStyle w:val="Compact"/>
            </w:pPr>
            <w:r>
              <w:t xml:space="preserve">Milioni di euro (prezzi 2015)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MIO_EUR2020</w:t>
            </w:r>
          </w:p>
        </w:tc>
        <w:tc>
          <w:tcPr/>
          <w:p>
            <w:pPr>
              <w:pStyle w:val="Compact"/>
            </w:pPr>
            <w:r>
              <w:t xml:space="preserve">Milioni di euro (prezzi 2020)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MIO_PPS_EU27_2020</w:t>
            </w:r>
          </w:p>
        </w:tc>
        <w:tc>
          <w:tcPr/>
          <w:p>
            <w:pPr>
              <w:pStyle w:val="Compact"/>
            </w:pPr>
            <w:r>
              <w:t xml:space="preserve">Milioni di PPS (EU27 2020)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</w:t>
            </w:r>
          </w:p>
        </w:tc>
        <w:tc>
          <w:tcPr/>
          <w:p>
            <w:pPr>
              <w:pStyle w:val="Compact"/>
            </w:pPr>
            <w:r>
              <w:t xml:space="preserve">Numero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</w:t>
            </w:r>
          </w:p>
        </w:tc>
        <w:tc>
          <w:tcPr/>
          <w:p>
            <w:pPr>
              <w:pStyle w:val="Compact"/>
            </w:pPr>
            <w:r>
              <w:t xml:space="preserve">Percentuale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PCH_PRE</w:t>
            </w:r>
          </w:p>
        </w:tc>
        <w:tc>
          <w:tcPr/>
          <w:p>
            <w:pPr>
              <w:pStyle w:val="Compact"/>
            </w:pPr>
            <w:r>
              <w:t xml:space="preserve">Variazione percentuale sull’anno precedente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PPS_EU27_2020</w:t>
            </w:r>
          </w:p>
        </w:tc>
        <w:tc>
          <w:tcPr/>
          <w:p>
            <w:pPr>
              <w:pStyle w:val="Compact"/>
            </w:pPr>
            <w:r>
              <w:t xml:space="preserve">PPS (EU27 2020)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PPS_HAB</w:t>
            </w:r>
          </w:p>
        </w:tc>
        <w:tc>
          <w:tcPr/>
          <w:p>
            <w:pPr>
              <w:pStyle w:val="Compact"/>
            </w:pPr>
            <w:r>
              <w:t xml:space="preserve">PPS per abitante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THS</w:t>
            </w:r>
          </w:p>
        </w:tc>
        <w:tc>
          <w:tcPr/>
          <w:p>
            <w:pPr>
              <w:pStyle w:val="Compact"/>
            </w:pPr>
            <w:r>
              <w:t xml:space="preserve">Migliaia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THS_HW</w:t>
            </w:r>
          </w:p>
        </w:tc>
        <w:tc>
          <w:tcPr/>
          <w:p>
            <w:pPr>
              <w:pStyle w:val="Compact"/>
            </w:pPr>
            <w:r>
              <w:t xml:space="preserve">Migliaia di ore lavorate</w:t>
            </w:r>
          </w:p>
        </w:tc>
      </w:tr>
    </w:tbl>
    <w:bookmarkEnd w:id="81"/>
    <w:bookmarkStart w:id="82" w:name="appendice-d-riferimenti"/>
    <w:p>
      <w:pPr>
        <w:pStyle w:val="Heading2"/>
      </w:pPr>
      <w:r>
        <w:t xml:space="preserve">11.4 Appendice D — Riferimenti</w:t>
      </w:r>
    </w:p>
    <w:p>
      <w:pPr>
        <w:pStyle w:val="Compact"/>
        <w:numPr>
          <w:ilvl w:val="0"/>
          <w:numId w:val="1028"/>
        </w:numPr>
      </w:pPr>
      <w:r>
        <w:t xml:space="preserve">Repository progetto:</w:t>
      </w:r>
      <w:r>
        <w:t xml:space="preserve"> </w:t>
      </w:r>
      <w:r>
        <w:rPr>
          <w:rStyle w:val="VerbatimChar"/>
        </w:rPr>
        <w:t xml:space="preserve">github.com/gmontaletti/Ardeco</w:t>
      </w:r>
      <w:r>
        <w:t xml:space="preserve"> </w:t>
      </w:r>
      <w:r>
        <w:t xml:space="preserve">(privato).</w:t>
      </w:r>
    </w:p>
    <w:p>
      <w:pPr>
        <w:pStyle w:val="Compact"/>
        <w:numPr>
          <w:ilvl w:val="0"/>
          <w:numId w:val="1028"/>
        </w:numPr>
      </w:pPr>
      <w:r>
        <w:t xml:space="preserve">Pacchetto ARDECO su CRAN:</w:t>
      </w:r>
      <w:r>
        <w:t xml:space="preserve"> </w:t>
      </w:r>
      <w:r>
        <w:rPr>
          <w:rStyle w:val="VerbatimChar"/>
        </w:rPr>
        <w:t xml:space="preserve">https://cran.r-project.org/package=ARDECO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Joint Research Centre ARDECO:</w:t>
      </w:r>
      <w:r>
        <w:t xml:space="preserve"> </w:t>
      </w:r>
      <w:r>
        <w:rPr>
          <w:rStyle w:val="VerbatimChar"/>
        </w:rPr>
        <w:t xml:space="preserve">https://urban.jrc.ec.europa.eu/ardeco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Classificazione NUTS Eurostat:</w:t>
      </w:r>
      <w:r>
        <w:t xml:space="preserve"> </w:t>
      </w:r>
      <w:r>
        <w:rPr>
          <w:rStyle w:val="VerbatimChar"/>
        </w:rPr>
        <w:t xml:space="preserve">https://ec.europa.eu/eurostat/web/nuts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Palette CVD-safe Paul Tol:</w:t>
      </w:r>
      <w:r>
        <w:t xml:space="preserve"> </w:t>
      </w:r>
      <w:r>
        <w:rPr>
          <w:rStyle w:val="VerbatimChar"/>
        </w:rPr>
        <w:t xml:space="preserve">https://personal.sron.nl/~pault/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Palette Okabe-Ito:</w:t>
      </w:r>
      <w:r>
        <w:t xml:space="preserve"> </w:t>
      </w:r>
      <w:r>
        <w:rPr>
          <w:rStyle w:val="VerbatimChar"/>
        </w:rPr>
        <w:t xml:space="preserve">https://jfly.uni-koeln.de/color/</w:t>
      </w:r>
      <w:r>
        <w:t xml:space="preserve">.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 sviluppatore: dashboard ARDECO Lombardia in Power BI</dc:title>
  <dc:creator>Giampaolo Montaletti</dc:creator>
  <dc:language>it</dc:language>
  <cp:keywords/>
  <dcterms:created xsi:type="dcterms:W3CDTF">2026-04-20T07:46:07Z</dcterms:created>
  <dcterms:modified xsi:type="dcterms:W3CDTF">2026-04-20T07:46:07Z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fontsize">
    <vt:lpwstr>10pt</vt:lpwstr>
  </property>
  <property fmtid="{D5CDD505-2E9C-101B-9397-08002B2CF9AE}" pid="6" name="geometry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Indice</vt:lpwstr>
  </property>
</Properties>
</file>